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FD4E" w14:textId="77777777" w:rsid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14:paraId="2A635821" w14:textId="77777777" w:rsid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30"/>
          <w:szCs w:val="30"/>
        </w:rPr>
      </w:pPr>
    </w:p>
    <w:p w14:paraId="4038A5B5" w14:textId="77777777" w:rsidR="00697039" w:rsidRP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697039">
        <w:rPr>
          <w:rFonts w:ascii="Arial" w:hAnsi="Arial" w:cs="Arial"/>
          <w:b/>
          <w:bCs/>
          <w:sz w:val="28"/>
          <w:szCs w:val="28"/>
        </w:rPr>
        <w:t>AGENDA</w:t>
      </w:r>
    </w:p>
    <w:p w14:paraId="5839E1AD" w14:textId="77777777" w:rsidR="00697039" w:rsidRP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938A48" w14:textId="77777777" w:rsidR="00694703" w:rsidRPr="00697039" w:rsidRDefault="00984A84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697039">
        <w:rPr>
          <w:rFonts w:ascii="Arial" w:hAnsi="Arial" w:cs="Arial"/>
          <w:b/>
          <w:bCs/>
          <w:sz w:val="28"/>
          <w:szCs w:val="28"/>
        </w:rPr>
        <w:t>NHS C</w:t>
      </w:r>
      <w:r w:rsidR="00697039" w:rsidRPr="00697039">
        <w:rPr>
          <w:rFonts w:ascii="Arial" w:hAnsi="Arial" w:cs="Arial"/>
          <w:b/>
          <w:bCs/>
          <w:sz w:val="28"/>
          <w:szCs w:val="28"/>
        </w:rPr>
        <w:t xml:space="preserve">ontinuing Healthcare </w:t>
      </w:r>
      <w:r w:rsidR="00D25199">
        <w:rPr>
          <w:rFonts w:ascii="Arial" w:hAnsi="Arial" w:cs="Arial"/>
          <w:b/>
          <w:bCs/>
          <w:sz w:val="28"/>
          <w:szCs w:val="28"/>
        </w:rPr>
        <w:t>W</w:t>
      </w:r>
      <w:r w:rsidR="006963B4" w:rsidRPr="00697039">
        <w:rPr>
          <w:rFonts w:ascii="Arial" w:hAnsi="Arial" w:cs="Arial"/>
          <w:b/>
          <w:bCs/>
          <w:sz w:val="28"/>
          <w:szCs w:val="28"/>
        </w:rPr>
        <w:t xml:space="preserve">orkshop </w:t>
      </w:r>
    </w:p>
    <w:p w14:paraId="1A2CBD3B" w14:textId="77777777" w:rsid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30"/>
          <w:szCs w:val="30"/>
        </w:rPr>
      </w:pPr>
    </w:p>
    <w:p w14:paraId="41644871" w14:textId="77777777" w:rsidR="00D25199" w:rsidRPr="004D4006" w:rsidRDefault="00D25199" w:rsidP="00694703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r w:rsidRPr="004D4006">
        <w:rPr>
          <w:rFonts w:ascii="Arial" w:hAnsi="Arial" w:cs="Arial"/>
          <w:b/>
          <w:bCs/>
          <w:sz w:val="20"/>
          <w:szCs w:val="20"/>
        </w:rPr>
        <w:t xml:space="preserve">MS Teams Joining details </w:t>
      </w:r>
      <w:r w:rsidR="006911D1">
        <w:rPr>
          <w:rFonts w:ascii="Arial" w:hAnsi="Arial" w:cs="Arial"/>
          <w:b/>
          <w:bCs/>
          <w:sz w:val="20"/>
          <w:szCs w:val="20"/>
        </w:rPr>
        <w:t>are provided separately</w:t>
      </w:r>
      <w:r w:rsidRPr="00FF3D92">
        <w:rPr>
          <w:rFonts w:ascii="Arial" w:hAnsi="Arial" w:cs="Arial"/>
          <w:b/>
          <w:bCs/>
          <w:color w:val="5B9BD5" w:themeColor="accent1"/>
          <w:sz w:val="20"/>
          <w:szCs w:val="20"/>
        </w:rPr>
        <w:t xml:space="preserve"> </w:t>
      </w:r>
    </w:p>
    <w:p w14:paraId="3F3BDFE2" w14:textId="77777777" w:rsidR="00830A97" w:rsidRDefault="00830A97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012"/>
        <w:gridCol w:w="4344"/>
      </w:tblGrid>
      <w:tr w:rsidR="00830A97" w14:paraId="6C167BD1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08A9DB" w14:textId="77777777" w:rsidR="00830A97" w:rsidRDefault="00830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691EB6" w14:textId="77777777" w:rsidR="00830A97" w:rsidRDefault="00830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CBF22D" w14:textId="77777777" w:rsidR="00830A97" w:rsidRDefault="00D251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</w:tr>
      <w:tr w:rsidR="00820205" w14:paraId="670B5469" w14:textId="77777777" w:rsidTr="00DD4FB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DEBBE9" w14:textId="5C386FC4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200924" w14:textId="671E2910" w:rsidR="00820205" w:rsidRDefault="00820205" w:rsidP="00820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 and MS Teams joining</w:t>
            </w:r>
          </w:p>
        </w:tc>
      </w:tr>
      <w:tr w:rsidR="00820205" w14:paraId="05F4CF6A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69756B" w14:textId="267F22A3" w:rsidR="009F6E48" w:rsidRDefault="009F6E48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09.35</w:t>
            </w:r>
          </w:p>
          <w:p w14:paraId="3598E81A" w14:textId="51D5AB82" w:rsidR="00820205" w:rsidRDefault="009F6E48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(25</w:t>
            </w:r>
            <w:r w:rsidR="00820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20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D0BEE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watch the Understanding NHS Continuing Healthcare film prior to joining the Workshop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8F852B" w14:textId="77777777" w:rsidR="00820205" w:rsidRDefault="003F0008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820205" w:rsidRPr="00C325F2">
                <w:rPr>
                  <w:rStyle w:val="Hyperlink"/>
                  <w:rFonts w:ascii="Arial" w:hAnsi="Arial" w:cs="Arial"/>
                </w:rPr>
                <w:t>https://youtu.be/9xE2oGVRqvY</w:t>
              </w:r>
            </w:hyperlink>
            <w:r w:rsidR="00820205" w:rsidRPr="001A03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20205" w14:paraId="641A99A0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827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  <w:p w14:paraId="282E05FF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mins)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BB6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Welcome and Expectation of the Workshop </w:t>
            </w:r>
          </w:p>
          <w:p w14:paraId="510180F3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BCCE15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3AD360" w14:textId="77777777" w:rsidR="00820205" w:rsidRDefault="00820205" w:rsidP="008202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1E4" w14:textId="77777777" w:rsidR="00820205" w:rsidRPr="00A77904" w:rsidRDefault="00820205" w:rsidP="008202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 Reynolds, Independent Facilitator </w:t>
            </w:r>
          </w:p>
          <w:p w14:paraId="5B742B28" w14:textId="77777777" w:rsidR="00820205" w:rsidRDefault="00820205" w:rsidP="00820205">
            <w:pPr>
              <w:rPr>
                <w:rFonts w:ascii="Arial" w:hAnsi="Arial" w:cs="Arial"/>
              </w:rPr>
            </w:pPr>
          </w:p>
          <w:p w14:paraId="12A87845" w14:textId="77777777" w:rsidR="00820205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01D8AE70" w14:textId="77777777" w:rsidTr="00A77904">
        <w:trPr>
          <w:trHeight w:val="15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81C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  <w:p w14:paraId="6B846F8E" w14:textId="1EABE8AB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(15mins)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205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National Framework for Continuing Healthcare and Funded nursing Care 2018 (revised)</w:t>
            </w:r>
          </w:p>
          <w:p w14:paraId="0DC6B857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20D32" w14:textId="77777777" w:rsidR="00820205" w:rsidRPr="00633E6A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77904">
              <w:rPr>
                <w:rFonts w:ascii="Arial" w:hAnsi="Arial" w:cs="Arial"/>
                <w:sz w:val="22"/>
                <w:szCs w:val="22"/>
              </w:rPr>
              <w:t>Overview of the Key guidance documents</w:t>
            </w:r>
          </w:p>
          <w:p w14:paraId="1B9A9203" w14:textId="4341BF43" w:rsidR="00820205" w:rsidRPr="00A77904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 Track</w:t>
            </w:r>
            <w:r w:rsidRPr="00A779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E03D9B" w14:textId="77777777" w:rsidR="00820205" w:rsidRPr="00694703" w:rsidRDefault="00820205" w:rsidP="008202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5D9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79C0B4B2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0F9B6" w14:textId="77777777" w:rsidR="00820205" w:rsidRPr="00F1762D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205" w14:paraId="51D7A19C" w14:textId="77777777" w:rsidTr="00A77904">
        <w:trPr>
          <w:trHeight w:val="5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0C7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  <w:p w14:paraId="102CE4F0" w14:textId="5D55C0BE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(40 mins)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24C" w14:textId="77777777" w:rsidR="00820205" w:rsidRDefault="00820205" w:rsidP="008202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Checklist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2B942F8C" w14:textId="77777777" w:rsidR="00820205" w:rsidRPr="00A126C2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26C2">
              <w:rPr>
                <w:rFonts w:ascii="Arial" w:hAnsi="Arial" w:cs="Arial"/>
                <w:bCs/>
                <w:sz w:val="22"/>
                <w:szCs w:val="22"/>
              </w:rPr>
              <w:t xml:space="preserve">Consent </w:t>
            </w:r>
          </w:p>
          <w:p w14:paraId="6EF0E1B4" w14:textId="71DC6BCF" w:rsidR="00820205" w:rsidRPr="00A126C2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A126C2">
              <w:rPr>
                <w:rFonts w:ascii="Arial" w:hAnsi="Arial" w:cs="Arial"/>
                <w:bCs/>
                <w:sz w:val="22"/>
                <w:szCs w:val="22"/>
              </w:rPr>
              <w:t>eferral pathway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2A0F9A0C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851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0A9B499F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4031A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205" w14:paraId="0DDAACC8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5FBB1C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99FF0E" w14:textId="77777777" w:rsidR="00820205" w:rsidRDefault="00820205" w:rsidP="00820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Break 15 mins </w:t>
            </w:r>
          </w:p>
        </w:tc>
      </w:tr>
      <w:tr w:rsidR="00820205" w14:paraId="1AF7BFFF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59B" w14:textId="2A7AD5FD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F12" w14:textId="183BBDC2" w:rsidR="00820205" w:rsidRDefault="00820205" w:rsidP="00820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Decision support tool DST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ssessment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athway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Verification </w:t>
            </w:r>
          </w:p>
          <w:p w14:paraId="33DBA7CE" w14:textId="31E71DA9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26C2">
              <w:rPr>
                <w:rFonts w:ascii="Arial" w:hAnsi="Arial" w:cs="Arial"/>
                <w:bCs/>
                <w:sz w:val="22"/>
                <w:szCs w:val="22"/>
              </w:rPr>
              <w:t>Building a good assessment – domains and Primary Health Need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(Principles, Care Act, NHS - funded Nursing Care)</w:t>
            </w:r>
          </w:p>
          <w:p w14:paraId="0CC163D4" w14:textId="24797784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Importance of 4 key characteristics </w:t>
            </w:r>
            <w:r w:rsidRPr="00A126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21F7542" w14:textId="77777777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Considering the Virtual Assessment process</w:t>
            </w:r>
          </w:p>
          <w:p w14:paraId="3BE25C7D" w14:textId="77777777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Family involvement and how to demonstrate this – family statement of needs/</w:t>
            </w:r>
          </w:p>
          <w:p w14:paraId="7602F675" w14:textId="77777777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importance of oral evidence </w:t>
            </w:r>
          </w:p>
          <w:p w14:paraId="6AB5D88B" w14:textId="77777777" w:rsidR="00820205" w:rsidRPr="00A126C2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Building resilience in professional decision making </w:t>
            </w:r>
          </w:p>
          <w:p w14:paraId="5D413804" w14:textId="77777777" w:rsidR="00820205" w:rsidRPr="00A77904" w:rsidRDefault="00820205" w:rsidP="00820205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465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185CC299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21B22" w14:textId="77777777" w:rsidR="00820205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02174AF2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88B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</w:t>
            </w:r>
          </w:p>
          <w:p w14:paraId="2024CB19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 mins)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650" w14:textId="1DC9DBD9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Common misunderstandings Using the revised Decision Support Tool (DST)</w:t>
            </w:r>
          </w:p>
          <w:p w14:paraId="6403D132" w14:textId="5478C19C" w:rsidR="00820205" w:rsidRPr="00633E6A" w:rsidRDefault="00820205" w:rsidP="008202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33E6A">
              <w:rPr>
                <w:rFonts w:ascii="Arial" w:hAnsi="Arial" w:cs="Arial"/>
                <w:sz w:val="22"/>
                <w:szCs w:val="22"/>
              </w:rPr>
              <w:t>Please keep the DST scenario example at hand for this session</w:t>
            </w:r>
          </w:p>
          <w:p w14:paraId="37A85FD4" w14:textId="0AE2C2A1" w:rsidR="00820205" w:rsidRPr="00633E6A" w:rsidRDefault="00820205" w:rsidP="008202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33E6A">
              <w:rPr>
                <w:rFonts w:ascii="Arial" w:hAnsi="Arial" w:cs="Arial"/>
                <w:sz w:val="22"/>
                <w:szCs w:val="22"/>
              </w:rPr>
              <w:t>Brief introduction to Section 117 of the Mental Health Act 1983</w:t>
            </w:r>
          </w:p>
          <w:p w14:paraId="3FE648CC" w14:textId="77777777" w:rsidR="00820205" w:rsidRPr="00954F56" w:rsidRDefault="00820205" w:rsidP="0082020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CDE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5425B38F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656A8" w14:textId="77777777" w:rsidR="00820205" w:rsidRPr="006963B4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6FD7CA94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635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12.35</w:t>
            </w:r>
          </w:p>
          <w:p w14:paraId="499AC41C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(15mins)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362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Appealing the decision </w:t>
            </w:r>
          </w:p>
          <w:p w14:paraId="41BFDEF1" w14:textId="77777777" w:rsidR="00820205" w:rsidRPr="00C52405" w:rsidRDefault="00820205" w:rsidP="008202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52405">
              <w:rPr>
                <w:rFonts w:ascii="Arial" w:hAnsi="Arial" w:cs="Arial"/>
                <w:sz w:val="22"/>
                <w:szCs w:val="22"/>
              </w:rPr>
              <w:t>Local Resolution</w:t>
            </w:r>
          </w:p>
          <w:p w14:paraId="78D8A34E" w14:textId="77777777" w:rsidR="00820205" w:rsidRPr="00C52405" w:rsidRDefault="00820205" w:rsidP="008202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52405">
              <w:rPr>
                <w:rFonts w:ascii="Arial" w:hAnsi="Arial" w:cs="Arial"/>
                <w:sz w:val="22"/>
                <w:szCs w:val="22"/>
              </w:rPr>
              <w:t xml:space="preserve">Independent Review </w:t>
            </w:r>
          </w:p>
          <w:p w14:paraId="29FDECC9" w14:textId="39A93FE8" w:rsidR="00820205" w:rsidRPr="00E21A8D" w:rsidRDefault="00820205" w:rsidP="008202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A8D">
              <w:rPr>
                <w:rFonts w:ascii="Arial" w:hAnsi="Arial" w:cs="Arial"/>
                <w:sz w:val="22"/>
                <w:szCs w:val="22"/>
              </w:rPr>
              <w:lastRenderedPageBreak/>
              <w:t>Parliamentary and Health Service Ombudsman</w:t>
            </w:r>
          </w:p>
          <w:p w14:paraId="0D71A1D5" w14:textId="77777777" w:rsidR="00820205" w:rsidRDefault="00820205" w:rsidP="008202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E71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Jane Reynolds and plenary discussion</w:t>
            </w:r>
          </w:p>
          <w:p w14:paraId="28E8E962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E1066" w14:textId="77777777" w:rsidR="00820205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3B8654FC" w14:textId="77777777" w:rsidTr="00F77B1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839271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12.50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5CA80" w14:textId="77777777" w:rsidR="00820205" w:rsidRPr="00F77B18" w:rsidRDefault="00820205" w:rsidP="008202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B18">
              <w:rPr>
                <w:rFonts w:ascii="Arial" w:hAnsi="Arial" w:cs="Arial"/>
                <w:b/>
                <w:bCs/>
              </w:rPr>
              <w:t>Break</w:t>
            </w:r>
            <w:r>
              <w:rPr>
                <w:rFonts w:ascii="Arial" w:hAnsi="Arial" w:cs="Arial"/>
                <w:b/>
                <w:bCs/>
              </w:rPr>
              <w:t xml:space="preserve"> 15 mins </w:t>
            </w:r>
          </w:p>
        </w:tc>
      </w:tr>
      <w:tr w:rsidR="00820205" w14:paraId="732DCF36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223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hour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4D3" w14:textId="77777777" w:rsidR="00820205" w:rsidRDefault="00820205" w:rsidP="00820205">
            <w:pPr>
              <w:pStyle w:val="Heading1"/>
            </w:pPr>
            <w:r w:rsidRPr="00F77B18">
              <w:t>Scenarios</w:t>
            </w:r>
          </w:p>
          <w:p w14:paraId="14656359" w14:textId="54869C4F" w:rsidR="00820205" w:rsidRPr="00E21A8D" w:rsidRDefault="00820205" w:rsidP="008202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21A8D">
              <w:rPr>
                <w:rFonts w:ascii="Arial" w:hAnsi="Arial" w:cs="Arial"/>
                <w:sz w:val="22"/>
                <w:szCs w:val="22"/>
                <w:highlight w:val="yellow"/>
              </w:rPr>
              <w:t>Please read in advance the scenarios provided and prepare your questions arising from those.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D84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0B2A5C91" w14:textId="77777777" w:rsidR="00820205" w:rsidRPr="0033067D" w:rsidRDefault="00820205" w:rsidP="00820205">
            <w:pPr>
              <w:rPr>
                <w:rFonts w:ascii="Arial" w:hAnsi="Arial" w:cs="Arial"/>
                <w:sz w:val="22"/>
              </w:rPr>
            </w:pPr>
          </w:p>
        </w:tc>
      </w:tr>
      <w:tr w:rsidR="00820205" w14:paraId="292038C2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732EB9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13.50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D43C75" w14:textId="77777777" w:rsidR="00820205" w:rsidRPr="00843648" w:rsidRDefault="00820205" w:rsidP="00820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the Workshop</w:t>
            </w:r>
          </w:p>
        </w:tc>
      </w:tr>
    </w:tbl>
    <w:p w14:paraId="542E45AA" w14:textId="77777777" w:rsidR="00C85A85" w:rsidRDefault="00C85A85" w:rsidP="00697039">
      <w:pPr>
        <w:rPr>
          <w:rFonts w:ascii="Arial" w:hAnsi="Arial" w:cs="Arial"/>
          <w:sz w:val="22"/>
          <w:szCs w:val="22"/>
        </w:rPr>
      </w:pPr>
    </w:p>
    <w:p w14:paraId="0E3366C6" w14:textId="77777777" w:rsidR="001A0360" w:rsidRDefault="001A0360" w:rsidP="00697039">
      <w:pPr>
        <w:rPr>
          <w:rFonts w:ascii="Arial" w:hAnsi="Arial" w:cs="Arial"/>
          <w:b/>
          <w:sz w:val="22"/>
          <w:szCs w:val="22"/>
          <w:u w:val="single"/>
        </w:rPr>
      </w:pPr>
    </w:p>
    <w:p w14:paraId="64FA6F80" w14:textId="77777777" w:rsidR="008E56A2" w:rsidRPr="00381DC0" w:rsidRDefault="008E56A2" w:rsidP="00697039">
      <w:pPr>
        <w:rPr>
          <w:rFonts w:ascii="Arial" w:hAnsi="Arial" w:cs="Arial"/>
          <w:b/>
          <w:sz w:val="22"/>
          <w:szCs w:val="22"/>
          <w:u w:val="single"/>
        </w:rPr>
      </w:pPr>
      <w:r w:rsidRPr="00381DC0">
        <w:rPr>
          <w:rFonts w:ascii="Arial" w:hAnsi="Arial" w:cs="Arial"/>
          <w:b/>
          <w:sz w:val="22"/>
          <w:szCs w:val="22"/>
          <w:u w:val="single"/>
        </w:rPr>
        <w:t>Aims and Outcomes of the day</w:t>
      </w:r>
    </w:p>
    <w:p w14:paraId="76947CD4" w14:textId="77777777" w:rsidR="008E56A2" w:rsidRPr="00381DC0" w:rsidRDefault="008E56A2" w:rsidP="008E56A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985D078" w14:textId="77777777" w:rsidR="008E56A2" w:rsidRPr="00381DC0" w:rsidRDefault="008E56A2" w:rsidP="008E56A2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81DC0">
        <w:rPr>
          <w:rFonts w:ascii="Arial" w:hAnsi="Arial" w:cs="Arial"/>
          <w:sz w:val="22"/>
          <w:szCs w:val="22"/>
        </w:rPr>
        <w:t xml:space="preserve">To provide an opportunity for </w:t>
      </w:r>
      <w:r w:rsidR="00A52A1D" w:rsidRPr="00381DC0">
        <w:rPr>
          <w:rFonts w:ascii="Arial" w:hAnsi="Arial" w:cs="Arial"/>
          <w:sz w:val="22"/>
          <w:szCs w:val="22"/>
        </w:rPr>
        <w:t xml:space="preserve">newly appointed </w:t>
      </w:r>
      <w:r w:rsidRPr="00381DC0">
        <w:rPr>
          <w:rFonts w:ascii="Arial" w:hAnsi="Arial" w:cs="Arial"/>
          <w:sz w:val="22"/>
          <w:szCs w:val="22"/>
        </w:rPr>
        <w:t xml:space="preserve">NHS and Adult Social Care professionals to </w:t>
      </w:r>
      <w:r w:rsidR="00A52A1D" w:rsidRPr="00381DC0">
        <w:rPr>
          <w:rFonts w:ascii="Arial" w:hAnsi="Arial" w:cs="Arial"/>
          <w:sz w:val="22"/>
          <w:szCs w:val="22"/>
        </w:rPr>
        <w:t xml:space="preserve">become familiar with NHS Continuing Healthcare systems and processes as well as </w:t>
      </w:r>
      <w:r w:rsidRPr="00381DC0">
        <w:rPr>
          <w:rFonts w:ascii="Arial" w:hAnsi="Arial" w:cs="Arial"/>
          <w:sz w:val="22"/>
          <w:szCs w:val="22"/>
        </w:rPr>
        <w:t xml:space="preserve">explore issues which are particularly challenging with regards to NHS </w:t>
      </w:r>
      <w:r w:rsidR="00A52A1D" w:rsidRPr="00381DC0">
        <w:rPr>
          <w:rFonts w:ascii="Arial" w:hAnsi="Arial" w:cs="Arial"/>
          <w:sz w:val="22"/>
          <w:szCs w:val="22"/>
        </w:rPr>
        <w:t>CHC</w:t>
      </w:r>
      <w:r w:rsidRPr="00381DC0">
        <w:rPr>
          <w:rFonts w:ascii="Arial" w:hAnsi="Arial" w:cs="Arial"/>
          <w:sz w:val="22"/>
          <w:szCs w:val="22"/>
        </w:rPr>
        <w:t xml:space="preserve">.  </w:t>
      </w:r>
    </w:p>
    <w:p w14:paraId="5D9B6462" w14:textId="77777777" w:rsidR="008E56A2" w:rsidRPr="00F77B18" w:rsidRDefault="008E56A2" w:rsidP="00697039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2D66E6CF" w14:textId="77777777" w:rsidR="008E56A2" w:rsidRPr="00F77B18" w:rsidRDefault="008E56A2" w:rsidP="00697039">
      <w:pPr>
        <w:rPr>
          <w:rFonts w:ascii="Arial" w:hAnsi="Arial" w:cs="Arial"/>
          <w:sz w:val="22"/>
          <w:szCs w:val="22"/>
          <w:highlight w:val="yellow"/>
        </w:rPr>
      </w:pPr>
    </w:p>
    <w:p w14:paraId="5FB1598E" w14:textId="77777777" w:rsidR="004D4006" w:rsidRPr="00F77B18" w:rsidRDefault="004D4006" w:rsidP="004D4006">
      <w:pPr>
        <w:rPr>
          <w:rFonts w:ascii="Arial" w:hAnsi="Arial" w:cs="Arial"/>
          <w:b/>
          <w:bCs/>
          <w:sz w:val="22"/>
          <w:szCs w:val="22"/>
        </w:rPr>
      </w:pPr>
      <w:r w:rsidRPr="00F77B18">
        <w:rPr>
          <w:rFonts w:ascii="Arial" w:hAnsi="Arial" w:cs="Arial"/>
          <w:b/>
          <w:bCs/>
          <w:sz w:val="22"/>
          <w:szCs w:val="22"/>
        </w:rPr>
        <w:t>Expectations of the Workshop</w:t>
      </w:r>
    </w:p>
    <w:p w14:paraId="31C58BEE" w14:textId="77777777" w:rsidR="004D4006" w:rsidRPr="00E82513" w:rsidRDefault="004D4006" w:rsidP="00E82513">
      <w:pPr>
        <w:rPr>
          <w:rFonts w:ascii="Arial" w:hAnsi="Arial" w:cs="Arial"/>
          <w:sz w:val="22"/>
          <w:szCs w:val="22"/>
        </w:rPr>
      </w:pPr>
      <w:r w:rsidRPr="00E82513">
        <w:rPr>
          <w:rFonts w:ascii="Arial" w:hAnsi="Arial" w:cs="Arial"/>
          <w:sz w:val="22"/>
          <w:szCs w:val="22"/>
        </w:rPr>
        <w:t xml:space="preserve">Understand the context of the National Framework (2018) for CHC </w:t>
      </w:r>
      <w:r w:rsidR="00A126C2" w:rsidRPr="00E82513">
        <w:rPr>
          <w:rFonts w:ascii="Arial" w:hAnsi="Arial" w:cs="Arial"/>
          <w:sz w:val="22"/>
          <w:szCs w:val="22"/>
        </w:rPr>
        <w:t xml:space="preserve">and other legislation such as the Care Act 2014 </w:t>
      </w:r>
      <w:r w:rsidRPr="00E82513">
        <w:rPr>
          <w:rFonts w:ascii="Arial" w:hAnsi="Arial" w:cs="Arial"/>
          <w:sz w:val="22"/>
          <w:szCs w:val="22"/>
        </w:rPr>
        <w:t>in relation to:</w:t>
      </w:r>
    </w:p>
    <w:p w14:paraId="02960028" w14:textId="77777777" w:rsid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7B18">
        <w:rPr>
          <w:rFonts w:ascii="Arial" w:hAnsi="Arial" w:cs="Arial"/>
          <w:sz w:val="22"/>
          <w:szCs w:val="22"/>
        </w:rPr>
        <w:t xml:space="preserve">Checklist, </w:t>
      </w:r>
    </w:p>
    <w:p w14:paraId="4F90B813" w14:textId="77777777" w:rsid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7B18">
        <w:rPr>
          <w:rFonts w:ascii="Arial" w:hAnsi="Arial" w:cs="Arial"/>
          <w:sz w:val="22"/>
          <w:szCs w:val="22"/>
        </w:rPr>
        <w:t xml:space="preserve">Assessment and eligibility </w:t>
      </w:r>
    </w:p>
    <w:p w14:paraId="7DF29DEC" w14:textId="77777777" w:rsid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7B18">
        <w:rPr>
          <w:rFonts w:ascii="Arial" w:hAnsi="Arial" w:cs="Arial"/>
          <w:sz w:val="22"/>
          <w:szCs w:val="22"/>
        </w:rPr>
        <w:t>Annex B &amp; C and</w:t>
      </w:r>
    </w:p>
    <w:p w14:paraId="5FA16297" w14:textId="77777777" w:rsidR="00381DC0" w:rsidRP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81DC0">
        <w:rPr>
          <w:rFonts w:ascii="Arial" w:hAnsi="Arial" w:cs="Arial"/>
          <w:sz w:val="22"/>
          <w:szCs w:val="22"/>
        </w:rPr>
        <w:t xml:space="preserve">Well managed need, </w:t>
      </w:r>
    </w:p>
    <w:p w14:paraId="4D501E6F" w14:textId="77777777" w:rsidR="00381DC0" w:rsidRP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81DC0">
        <w:rPr>
          <w:rFonts w:ascii="Arial" w:hAnsi="Arial" w:cs="Arial"/>
          <w:sz w:val="22"/>
          <w:szCs w:val="22"/>
        </w:rPr>
        <w:t xml:space="preserve">limits of Local Authority, </w:t>
      </w:r>
    </w:p>
    <w:p w14:paraId="15AC7187" w14:textId="77777777" w:rsidR="00381DC0" w:rsidRPr="003322EF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322EF">
        <w:rPr>
          <w:rFonts w:ascii="Arial" w:hAnsi="Arial" w:cs="Arial"/>
          <w:sz w:val="22"/>
          <w:szCs w:val="22"/>
        </w:rPr>
        <w:t xml:space="preserve">Joint Funding  </w:t>
      </w:r>
    </w:p>
    <w:p w14:paraId="138BFC6C" w14:textId="77777777" w:rsidR="004D4006" w:rsidRPr="003322EF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322EF">
        <w:rPr>
          <w:rFonts w:ascii="Arial" w:hAnsi="Arial" w:cs="Arial"/>
          <w:sz w:val="22"/>
          <w:szCs w:val="22"/>
        </w:rPr>
        <w:t xml:space="preserve">Fast Track </w:t>
      </w:r>
    </w:p>
    <w:p w14:paraId="7C5F6D6F" w14:textId="77777777" w:rsidR="00947952" w:rsidRDefault="00947952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needs assessment</w:t>
      </w:r>
    </w:p>
    <w:p w14:paraId="73F62FFC" w14:textId="77777777" w:rsidR="00947952" w:rsidRPr="00381DC0" w:rsidRDefault="00947952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digital technology and virtual assessments </w:t>
      </w:r>
    </w:p>
    <w:p w14:paraId="469BCFB5" w14:textId="77777777" w:rsidR="004D4006" w:rsidRPr="001A1278" w:rsidRDefault="004D4006" w:rsidP="004D4006">
      <w:pPr>
        <w:rPr>
          <w:rFonts w:ascii="Arial" w:hAnsi="Arial" w:cs="Arial"/>
          <w:b/>
          <w:bCs/>
          <w:sz w:val="22"/>
          <w:szCs w:val="22"/>
        </w:rPr>
      </w:pPr>
      <w:r w:rsidRPr="001A1278">
        <w:rPr>
          <w:rFonts w:ascii="Arial" w:hAnsi="Arial" w:cs="Arial"/>
          <w:b/>
          <w:bCs/>
          <w:sz w:val="22"/>
          <w:szCs w:val="22"/>
        </w:rPr>
        <w:t>Outcomes:</w:t>
      </w:r>
    </w:p>
    <w:p w14:paraId="627C21A7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</w:t>
      </w:r>
      <w:proofErr w:type="spellStart"/>
      <w:r>
        <w:rPr>
          <w:rFonts w:ascii="Arial" w:hAnsi="Arial" w:cs="Arial"/>
          <w:sz w:val="22"/>
          <w:szCs w:val="22"/>
        </w:rPr>
        <w:t>recognise</w:t>
      </w:r>
      <w:proofErr w:type="spellEnd"/>
      <w:r w:rsidRPr="001A1278">
        <w:rPr>
          <w:rFonts w:ascii="Arial" w:hAnsi="Arial" w:cs="Arial"/>
          <w:sz w:val="22"/>
          <w:szCs w:val="22"/>
        </w:rPr>
        <w:t xml:space="preserve"> a</w:t>
      </w:r>
      <w:r w:rsidR="00381DC0">
        <w:rPr>
          <w:rFonts w:ascii="Arial" w:hAnsi="Arial" w:cs="Arial"/>
          <w:sz w:val="22"/>
          <w:szCs w:val="22"/>
        </w:rPr>
        <w:t>nd complete a</w:t>
      </w:r>
      <w:r w:rsidRPr="001A1278">
        <w:rPr>
          <w:rFonts w:ascii="Arial" w:hAnsi="Arial" w:cs="Arial"/>
          <w:sz w:val="22"/>
          <w:szCs w:val="22"/>
        </w:rPr>
        <w:t xml:space="preserve"> good </w:t>
      </w:r>
      <w:r>
        <w:rPr>
          <w:rFonts w:ascii="Arial" w:hAnsi="Arial" w:cs="Arial"/>
          <w:sz w:val="22"/>
          <w:szCs w:val="22"/>
        </w:rPr>
        <w:t xml:space="preserve">quality </w:t>
      </w:r>
      <w:r w:rsidRPr="001A1278">
        <w:rPr>
          <w:rFonts w:ascii="Arial" w:hAnsi="Arial" w:cs="Arial"/>
          <w:sz w:val="22"/>
          <w:szCs w:val="22"/>
        </w:rPr>
        <w:t xml:space="preserve">referral Checklist  </w:t>
      </w:r>
    </w:p>
    <w:p w14:paraId="4F23E7C6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</w:t>
      </w:r>
      <w:proofErr w:type="spellStart"/>
      <w:r>
        <w:rPr>
          <w:rFonts w:ascii="Arial" w:hAnsi="Arial" w:cs="Arial"/>
          <w:sz w:val="22"/>
          <w:szCs w:val="22"/>
        </w:rPr>
        <w:t>recognise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1DC0">
        <w:rPr>
          <w:rFonts w:ascii="Arial" w:hAnsi="Arial" w:cs="Arial"/>
          <w:sz w:val="22"/>
          <w:szCs w:val="22"/>
        </w:rPr>
        <w:t xml:space="preserve">and complete </w:t>
      </w:r>
      <w:r w:rsidRPr="001A1278">
        <w:rPr>
          <w:rFonts w:ascii="Arial" w:hAnsi="Arial" w:cs="Arial"/>
          <w:sz w:val="22"/>
          <w:szCs w:val="22"/>
        </w:rPr>
        <w:t xml:space="preserve">a good </w:t>
      </w:r>
      <w:r>
        <w:rPr>
          <w:rFonts w:ascii="Arial" w:hAnsi="Arial" w:cs="Arial"/>
          <w:sz w:val="22"/>
          <w:szCs w:val="22"/>
        </w:rPr>
        <w:t xml:space="preserve">quality </w:t>
      </w:r>
      <w:r w:rsidRPr="001A1278">
        <w:rPr>
          <w:rFonts w:ascii="Arial" w:hAnsi="Arial" w:cs="Arial"/>
          <w:sz w:val="22"/>
          <w:szCs w:val="22"/>
        </w:rPr>
        <w:t xml:space="preserve">CHC Assessment </w:t>
      </w:r>
      <w:r>
        <w:rPr>
          <w:rFonts w:ascii="Arial" w:hAnsi="Arial" w:cs="Arial"/>
          <w:sz w:val="22"/>
          <w:szCs w:val="22"/>
        </w:rPr>
        <w:t>Decision Support Tool (DST)</w:t>
      </w:r>
    </w:p>
    <w:p w14:paraId="2F7F642F" w14:textId="77777777" w:rsidR="00381DC0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Understanding how CCGs verify the decision</w:t>
      </w:r>
    </w:p>
    <w:p w14:paraId="45331CF7" w14:textId="77777777" w:rsidR="004D4006" w:rsidRDefault="00381DC0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 the </w:t>
      </w:r>
      <w:r w:rsidR="00B67AFB">
        <w:rPr>
          <w:rFonts w:ascii="Arial" w:hAnsi="Arial" w:cs="Arial"/>
          <w:sz w:val="22"/>
          <w:szCs w:val="22"/>
        </w:rPr>
        <w:t>eligibility decision</w:t>
      </w:r>
      <w:r>
        <w:rPr>
          <w:rFonts w:ascii="Arial" w:hAnsi="Arial" w:cs="Arial"/>
          <w:sz w:val="22"/>
          <w:szCs w:val="22"/>
        </w:rPr>
        <w:t>, dispute and Independent Review process</w:t>
      </w:r>
      <w:r w:rsidR="004D4006" w:rsidRPr="001A1278">
        <w:rPr>
          <w:rFonts w:ascii="Arial" w:hAnsi="Arial" w:cs="Arial"/>
          <w:sz w:val="22"/>
          <w:szCs w:val="22"/>
        </w:rPr>
        <w:t xml:space="preserve"> </w:t>
      </w:r>
    </w:p>
    <w:p w14:paraId="54EB0AEB" w14:textId="77777777" w:rsidR="00A126C2" w:rsidRPr="001A1278" w:rsidRDefault="00A126C2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act on areas that require escalation including poor practice </w:t>
      </w:r>
    </w:p>
    <w:p w14:paraId="580EB562" w14:textId="77777777" w:rsidR="004D4006" w:rsidRPr="003E39F0" w:rsidRDefault="004D4006" w:rsidP="004D4006">
      <w:pPr>
        <w:rPr>
          <w:rFonts w:ascii="Arial" w:hAnsi="Arial" w:cs="Arial"/>
          <w:b/>
          <w:bCs/>
          <w:sz w:val="22"/>
          <w:szCs w:val="22"/>
        </w:rPr>
      </w:pPr>
      <w:r w:rsidRPr="003E39F0">
        <w:rPr>
          <w:rFonts w:ascii="Arial" w:hAnsi="Arial" w:cs="Arial"/>
          <w:b/>
          <w:bCs/>
          <w:sz w:val="22"/>
          <w:szCs w:val="22"/>
        </w:rPr>
        <w:t>Gain knowledge on:</w:t>
      </w:r>
    </w:p>
    <w:p w14:paraId="47514C8A" w14:textId="77777777" w:rsidR="004D4006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 xml:space="preserve">Exploring the Trusted </w:t>
      </w:r>
      <w:r>
        <w:rPr>
          <w:rFonts w:ascii="Arial" w:hAnsi="Arial" w:cs="Arial"/>
          <w:sz w:val="22"/>
          <w:szCs w:val="22"/>
        </w:rPr>
        <w:t>A</w:t>
      </w:r>
      <w:r w:rsidRPr="001A1278">
        <w:rPr>
          <w:rFonts w:ascii="Arial" w:hAnsi="Arial" w:cs="Arial"/>
          <w:sz w:val="22"/>
          <w:szCs w:val="22"/>
        </w:rPr>
        <w:t xml:space="preserve">ssessor approach within </w:t>
      </w:r>
      <w:r>
        <w:rPr>
          <w:rFonts w:ascii="Arial" w:hAnsi="Arial" w:cs="Arial"/>
          <w:sz w:val="22"/>
          <w:szCs w:val="22"/>
        </w:rPr>
        <w:t xml:space="preserve">the context of </w:t>
      </w:r>
      <w:r w:rsidRPr="001A1278">
        <w:rPr>
          <w:rFonts w:ascii="Arial" w:hAnsi="Arial" w:cs="Arial"/>
          <w:sz w:val="22"/>
          <w:szCs w:val="22"/>
        </w:rPr>
        <w:t>CHC</w:t>
      </w:r>
      <w:r>
        <w:rPr>
          <w:rFonts w:ascii="Arial" w:hAnsi="Arial" w:cs="Arial"/>
          <w:sz w:val="22"/>
          <w:szCs w:val="22"/>
        </w:rPr>
        <w:t xml:space="preserve"> (DST)</w:t>
      </w:r>
    </w:p>
    <w:p w14:paraId="14F21F1B" w14:textId="77777777" w:rsidR="00A126C2" w:rsidRPr="001A1278" w:rsidRDefault="00A126C2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aware of the virtual assessment process and good practice principles </w:t>
      </w:r>
    </w:p>
    <w:p w14:paraId="27A00189" w14:textId="77777777" w:rsidR="00A126C2" w:rsidRDefault="00A126C2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importance of involving family and key professionals in the assessment and MDT </w:t>
      </w:r>
    </w:p>
    <w:p w14:paraId="4067BD7C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The importance of a good M</w:t>
      </w:r>
      <w:r>
        <w:rPr>
          <w:rFonts w:ascii="Arial" w:hAnsi="Arial" w:cs="Arial"/>
          <w:sz w:val="22"/>
          <w:szCs w:val="22"/>
        </w:rPr>
        <w:t>ultidisciplinary Team (M</w:t>
      </w:r>
      <w:r w:rsidRPr="001A1278">
        <w:rPr>
          <w:rFonts w:ascii="Arial" w:hAnsi="Arial" w:cs="Arial"/>
          <w:sz w:val="22"/>
          <w:szCs w:val="22"/>
        </w:rPr>
        <w:t>DT</w:t>
      </w:r>
      <w:r>
        <w:rPr>
          <w:rFonts w:ascii="Arial" w:hAnsi="Arial" w:cs="Arial"/>
          <w:sz w:val="22"/>
          <w:szCs w:val="22"/>
        </w:rPr>
        <w:t xml:space="preserve">) -roles and responsibilities </w:t>
      </w:r>
      <w:r w:rsidRPr="001A1278">
        <w:rPr>
          <w:rFonts w:ascii="Arial" w:hAnsi="Arial" w:cs="Arial"/>
          <w:sz w:val="22"/>
          <w:szCs w:val="22"/>
        </w:rPr>
        <w:t xml:space="preserve"> </w:t>
      </w:r>
    </w:p>
    <w:p w14:paraId="66DD1A48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The importance of developing good relationships with Local Authority colleagues</w:t>
      </w:r>
    </w:p>
    <w:p w14:paraId="4B462CFF" w14:textId="77777777" w:rsidR="004D4006" w:rsidRPr="006911D1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Exploring the ways in which people can appeal the decision made by the CCG (L</w:t>
      </w:r>
      <w:r>
        <w:rPr>
          <w:rFonts w:ascii="Arial" w:hAnsi="Arial" w:cs="Arial"/>
          <w:sz w:val="22"/>
          <w:szCs w:val="22"/>
        </w:rPr>
        <w:t xml:space="preserve">ocal </w:t>
      </w:r>
      <w:r w:rsidRPr="001A127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esolution</w:t>
      </w:r>
      <w:r w:rsidRPr="001A1278">
        <w:rPr>
          <w:rFonts w:ascii="Arial" w:hAnsi="Arial" w:cs="Arial"/>
          <w:sz w:val="22"/>
          <w:szCs w:val="22"/>
        </w:rPr>
        <w:t xml:space="preserve"> and I</w:t>
      </w:r>
      <w:r>
        <w:rPr>
          <w:rFonts w:ascii="Arial" w:hAnsi="Arial" w:cs="Arial"/>
          <w:sz w:val="22"/>
          <w:szCs w:val="22"/>
        </w:rPr>
        <w:t xml:space="preserve">ndependent Review Process, Ombudsman - </w:t>
      </w:r>
      <w:r w:rsidRPr="001A1278">
        <w:rPr>
          <w:rFonts w:ascii="Arial" w:hAnsi="Arial" w:cs="Arial"/>
          <w:sz w:val="22"/>
          <w:szCs w:val="22"/>
        </w:rPr>
        <w:t>PHSO</w:t>
      </w:r>
      <w:r>
        <w:rPr>
          <w:rFonts w:ascii="Arial" w:hAnsi="Arial" w:cs="Arial"/>
          <w:sz w:val="22"/>
          <w:szCs w:val="22"/>
        </w:rPr>
        <w:t>)</w:t>
      </w:r>
    </w:p>
    <w:p w14:paraId="5E39219B" w14:textId="77777777" w:rsidR="006911D1" w:rsidRDefault="004D4006" w:rsidP="006911D1">
      <w:pPr>
        <w:rPr>
          <w:rFonts w:ascii="Arial" w:hAnsi="Arial" w:cs="Arial"/>
          <w:b/>
          <w:bCs/>
          <w:sz w:val="22"/>
          <w:szCs w:val="22"/>
        </w:rPr>
      </w:pPr>
      <w:r w:rsidRPr="006911D1">
        <w:rPr>
          <w:rFonts w:ascii="Arial" w:hAnsi="Arial" w:cs="Arial"/>
          <w:b/>
          <w:bCs/>
          <w:sz w:val="22"/>
          <w:szCs w:val="22"/>
        </w:rPr>
        <w:t xml:space="preserve">Case Scenarios </w:t>
      </w:r>
      <w:r w:rsidR="006911D1">
        <w:rPr>
          <w:rFonts w:ascii="Arial" w:hAnsi="Arial" w:cs="Arial"/>
          <w:b/>
          <w:bCs/>
          <w:sz w:val="22"/>
          <w:szCs w:val="22"/>
        </w:rPr>
        <w:t>and Examples</w:t>
      </w:r>
    </w:p>
    <w:p w14:paraId="50CB1186" w14:textId="77777777" w:rsidR="00A77904" w:rsidRPr="006911D1" w:rsidRDefault="00A77904" w:rsidP="006911D1">
      <w:pPr>
        <w:rPr>
          <w:rFonts w:ascii="Arial" w:hAnsi="Arial" w:cs="Arial"/>
          <w:sz w:val="22"/>
          <w:szCs w:val="22"/>
        </w:rPr>
      </w:pPr>
      <w:r w:rsidRPr="006911D1">
        <w:rPr>
          <w:rFonts w:ascii="Arial" w:hAnsi="Arial" w:cs="Arial"/>
          <w:sz w:val="22"/>
          <w:szCs w:val="22"/>
        </w:rPr>
        <w:t>Exploring specific case scenarios to develop awareness and insight</w:t>
      </w:r>
    </w:p>
    <w:p w14:paraId="196C0FD5" w14:textId="77777777" w:rsidR="00381DC0" w:rsidRPr="00381DC0" w:rsidRDefault="00381DC0" w:rsidP="00381DC0">
      <w:pPr>
        <w:pStyle w:val="ListParagraph"/>
        <w:rPr>
          <w:rFonts w:ascii="Arial" w:hAnsi="Arial" w:cs="Arial"/>
          <w:sz w:val="22"/>
          <w:szCs w:val="22"/>
        </w:rPr>
      </w:pPr>
    </w:p>
    <w:p w14:paraId="61A82329" w14:textId="77777777" w:rsidR="00381DC0" w:rsidRPr="006911D1" w:rsidRDefault="00381DC0" w:rsidP="006911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Completing a checklist scenario </w:t>
      </w:r>
    </w:p>
    <w:p w14:paraId="0A59D25C" w14:textId="77777777" w:rsidR="00381DC0" w:rsidRPr="006911D1" w:rsidRDefault="00381DC0" w:rsidP="006911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Completing a DST scenario </w:t>
      </w:r>
    </w:p>
    <w:p w14:paraId="32E7CD91" w14:textId="77777777" w:rsidR="00381DC0" w:rsidRPr="006911D1" w:rsidRDefault="00381DC0" w:rsidP="006911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 families and gaining feedback </w:t>
      </w:r>
    </w:p>
    <w:p w14:paraId="01C60BB8" w14:textId="77777777" w:rsidR="00381DC0" w:rsidRPr="001A1278" w:rsidRDefault="00381DC0" w:rsidP="00A7790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Understanding an MDT recommendation </w:t>
      </w:r>
    </w:p>
    <w:p w14:paraId="25BC55BB" w14:textId="77777777" w:rsidR="004D4006" w:rsidRPr="003E39F0" w:rsidRDefault="004D4006" w:rsidP="004D4006">
      <w:pPr>
        <w:rPr>
          <w:rFonts w:ascii="Arial" w:hAnsi="Arial" w:cs="Arial"/>
          <w:b/>
          <w:bCs/>
          <w:sz w:val="22"/>
          <w:szCs w:val="22"/>
        </w:rPr>
      </w:pPr>
    </w:p>
    <w:p w14:paraId="55B2E076" w14:textId="77777777" w:rsidR="00A126C2" w:rsidRDefault="00A126C2" w:rsidP="00A77904">
      <w:pPr>
        <w:rPr>
          <w:rFonts w:ascii="Arial" w:hAnsi="Arial" w:cs="Arial"/>
          <w:b/>
          <w:bCs/>
          <w:sz w:val="22"/>
          <w:szCs w:val="22"/>
        </w:rPr>
      </w:pPr>
    </w:p>
    <w:sectPr w:rsidR="00A126C2" w:rsidSect="00694703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EE8B" w14:textId="77777777" w:rsidR="00314902" w:rsidRDefault="00314902">
      <w:pPr>
        <w:rPr>
          <w:rFonts w:cs="Cambria"/>
        </w:rPr>
      </w:pPr>
      <w:r>
        <w:rPr>
          <w:rFonts w:cs="Cambria"/>
        </w:rPr>
        <w:separator/>
      </w:r>
    </w:p>
  </w:endnote>
  <w:endnote w:type="continuationSeparator" w:id="0">
    <w:p w14:paraId="10854B81" w14:textId="77777777" w:rsidR="00314902" w:rsidRDefault="00314902">
      <w:pPr>
        <w:rPr>
          <w:rFonts w:cs="Cambria"/>
        </w:rPr>
      </w:pPr>
      <w:r>
        <w:rPr>
          <w:rFonts w:cs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867E" w14:textId="77777777" w:rsidR="00830A97" w:rsidRDefault="00830A97">
    <w:pPr>
      <w:pStyle w:val="Footer"/>
      <w:framePr w:wrap="auto" w:vAnchor="text" w:hAnchor="margin" w:xAlign="right" w:y="1"/>
      <w:rPr>
        <w:rStyle w:val="PageNumber"/>
        <w:rFonts w:ascii="Cambria" w:hAnsi="Cambria" w:cs="Cambria"/>
      </w:rPr>
    </w:pPr>
  </w:p>
  <w:p w14:paraId="7FAB718D" w14:textId="77777777" w:rsidR="00830A97" w:rsidRDefault="00830A97" w:rsidP="00697039">
    <w:pPr>
      <w:pStyle w:val="Footer"/>
      <w:ind w:right="360"/>
      <w:rPr>
        <w:rFonts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F48C" w14:textId="77777777" w:rsidR="00314902" w:rsidRDefault="00314902">
      <w:pPr>
        <w:rPr>
          <w:rFonts w:cs="Cambria"/>
        </w:rPr>
      </w:pPr>
      <w:r>
        <w:rPr>
          <w:rFonts w:cs="Cambria"/>
        </w:rPr>
        <w:separator/>
      </w:r>
    </w:p>
  </w:footnote>
  <w:footnote w:type="continuationSeparator" w:id="0">
    <w:p w14:paraId="50C5672D" w14:textId="77777777" w:rsidR="00314902" w:rsidRDefault="00314902">
      <w:pPr>
        <w:rPr>
          <w:rFonts w:cs="Cambria"/>
        </w:rPr>
      </w:pPr>
      <w:r>
        <w:rPr>
          <w:rFonts w:cs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DD3A" w14:textId="5F484B52" w:rsidR="00F77B18" w:rsidRDefault="00D251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509293D" wp14:editId="4B7FBFDC">
          <wp:simplePos x="0" y="0"/>
          <wp:positionH relativeFrom="page">
            <wp:posOffset>6088380</wp:posOffset>
          </wp:positionH>
          <wp:positionV relativeFrom="topMargin">
            <wp:align>bottom</wp:align>
          </wp:positionV>
          <wp:extent cx="975360" cy="386080"/>
          <wp:effectExtent l="0" t="0" r="0" b="0"/>
          <wp:wrapNone/>
          <wp:docPr id="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386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2FF"/>
    <w:multiLevelType w:val="hybridMultilevel"/>
    <w:tmpl w:val="7138D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34402"/>
    <w:multiLevelType w:val="hybridMultilevel"/>
    <w:tmpl w:val="9676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44B"/>
    <w:multiLevelType w:val="hybridMultilevel"/>
    <w:tmpl w:val="5A32875A"/>
    <w:lvl w:ilvl="0" w:tplc="0A2805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34B"/>
    <w:multiLevelType w:val="hybridMultilevel"/>
    <w:tmpl w:val="F0E8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CE64D0"/>
    <w:multiLevelType w:val="hybridMultilevel"/>
    <w:tmpl w:val="92E0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9D7"/>
    <w:multiLevelType w:val="hybridMultilevel"/>
    <w:tmpl w:val="928C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58E1"/>
    <w:multiLevelType w:val="hybridMultilevel"/>
    <w:tmpl w:val="62B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DD8"/>
    <w:multiLevelType w:val="hybridMultilevel"/>
    <w:tmpl w:val="E8B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DA8"/>
    <w:multiLevelType w:val="hybridMultilevel"/>
    <w:tmpl w:val="DF7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62B9"/>
    <w:multiLevelType w:val="hybridMultilevel"/>
    <w:tmpl w:val="4658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6079"/>
    <w:multiLevelType w:val="hybridMultilevel"/>
    <w:tmpl w:val="BC50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0569"/>
    <w:multiLevelType w:val="hybridMultilevel"/>
    <w:tmpl w:val="CD1AEBDC"/>
    <w:lvl w:ilvl="0" w:tplc="0A2805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67DEA"/>
    <w:multiLevelType w:val="hybridMultilevel"/>
    <w:tmpl w:val="671A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C1"/>
    <w:rsid w:val="000D6788"/>
    <w:rsid w:val="000E2049"/>
    <w:rsid w:val="001275BC"/>
    <w:rsid w:val="00151458"/>
    <w:rsid w:val="001A0360"/>
    <w:rsid w:val="001A1278"/>
    <w:rsid w:val="001D193B"/>
    <w:rsid w:val="002021C1"/>
    <w:rsid w:val="00202D49"/>
    <w:rsid w:val="00237F33"/>
    <w:rsid w:val="00250F85"/>
    <w:rsid w:val="0026512C"/>
    <w:rsid w:val="00267292"/>
    <w:rsid w:val="00282D1D"/>
    <w:rsid w:val="002E0B80"/>
    <w:rsid w:val="002F6B00"/>
    <w:rsid w:val="002F766D"/>
    <w:rsid w:val="00314458"/>
    <w:rsid w:val="00314902"/>
    <w:rsid w:val="0033067D"/>
    <w:rsid w:val="003322EF"/>
    <w:rsid w:val="0033392B"/>
    <w:rsid w:val="003533B1"/>
    <w:rsid w:val="00381DC0"/>
    <w:rsid w:val="003E39F0"/>
    <w:rsid w:val="0042795B"/>
    <w:rsid w:val="00465B84"/>
    <w:rsid w:val="00473ECC"/>
    <w:rsid w:val="004868E9"/>
    <w:rsid w:val="004D0F48"/>
    <w:rsid w:val="004D4006"/>
    <w:rsid w:val="004F16B3"/>
    <w:rsid w:val="00522180"/>
    <w:rsid w:val="00633E6A"/>
    <w:rsid w:val="006911D1"/>
    <w:rsid w:val="00694703"/>
    <w:rsid w:val="006963B4"/>
    <w:rsid w:val="00697039"/>
    <w:rsid w:val="006E4A6E"/>
    <w:rsid w:val="00713B1D"/>
    <w:rsid w:val="00737AF7"/>
    <w:rsid w:val="0074421D"/>
    <w:rsid w:val="007951E5"/>
    <w:rsid w:val="007C053D"/>
    <w:rsid w:val="00820205"/>
    <w:rsid w:val="00830A97"/>
    <w:rsid w:val="00836184"/>
    <w:rsid w:val="00843648"/>
    <w:rsid w:val="008B4926"/>
    <w:rsid w:val="008D7B2D"/>
    <w:rsid w:val="008E56A2"/>
    <w:rsid w:val="00926B6C"/>
    <w:rsid w:val="00947952"/>
    <w:rsid w:val="00954F56"/>
    <w:rsid w:val="0096187E"/>
    <w:rsid w:val="00962B4C"/>
    <w:rsid w:val="00984A84"/>
    <w:rsid w:val="009D03AE"/>
    <w:rsid w:val="009F6E48"/>
    <w:rsid w:val="00A126C2"/>
    <w:rsid w:val="00A27A3F"/>
    <w:rsid w:val="00A37CE9"/>
    <w:rsid w:val="00A52A1D"/>
    <w:rsid w:val="00A668CD"/>
    <w:rsid w:val="00A77904"/>
    <w:rsid w:val="00AA0626"/>
    <w:rsid w:val="00AA7F33"/>
    <w:rsid w:val="00AE6D11"/>
    <w:rsid w:val="00AF4EC6"/>
    <w:rsid w:val="00B45566"/>
    <w:rsid w:val="00B67AFB"/>
    <w:rsid w:val="00BD3463"/>
    <w:rsid w:val="00BE226D"/>
    <w:rsid w:val="00C105C4"/>
    <w:rsid w:val="00C52405"/>
    <w:rsid w:val="00C553C3"/>
    <w:rsid w:val="00C85A85"/>
    <w:rsid w:val="00C91B77"/>
    <w:rsid w:val="00CB7D61"/>
    <w:rsid w:val="00CD20D9"/>
    <w:rsid w:val="00CD68E3"/>
    <w:rsid w:val="00D25199"/>
    <w:rsid w:val="00D36B89"/>
    <w:rsid w:val="00DD6CD7"/>
    <w:rsid w:val="00E04EA2"/>
    <w:rsid w:val="00E21A8D"/>
    <w:rsid w:val="00E65619"/>
    <w:rsid w:val="00E82513"/>
    <w:rsid w:val="00F14AA6"/>
    <w:rsid w:val="00F1762D"/>
    <w:rsid w:val="00F77B18"/>
    <w:rsid w:val="00FC56F4"/>
    <w:rsid w:val="00FE776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35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Cambria" w:hAnsi="Cambria" w:cs="Cambria"/>
      <w:sz w:val="24"/>
      <w:szCs w:val="24"/>
      <w:lang w:val="en-US" w:eastAsia="en-US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DD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D7"/>
    <w:rPr>
      <w:rFonts w:ascii="Cambria" w:hAnsi="Cambr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99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99"/>
    <w:rPr>
      <w:rFonts w:ascii="Cambria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9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12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xE2oGVRqv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D731-5A16-45B6-90EE-EDFD366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2021-03-05T15:12:00Z</dcterms:created>
  <dcterms:modified xsi:type="dcterms:W3CDTF">2021-03-05T15:12:00Z</dcterms:modified>
</cp:coreProperties>
</file>