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D8" w:rsidRDefault="00CB4F73">
      <w:pPr>
        <w:pStyle w:val="Title"/>
        <w:outlineLvl w:val="9"/>
      </w:pPr>
      <w:bookmarkStart w:id="0" w:name="_GoBack"/>
      <w:bookmarkEnd w:id="0"/>
      <w:r>
        <w:t>NHS Continuing Healthcare Decision Support Tool</w:t>
      </w:r>
    </w:p>
    <w:p w:rsidR="00BF01D8" w:rsidRDefault="00CB4F73">
      <w:pPr>
        <w:pStyle w:val="Subtitle"/>
      </w:pPr>
      <w:r>
        <w:t>October 2018 (Revised)</w:t>
      </w:r>
    </w:p>
    <w:p w:rsidR="00BF01D8" w:rsidRDefault="00CB4F73">
      <w:pPr>
        <w:sectPr w:rsidR="00BF01D8">
          <w:headerReference w:type="default" r:id="rId8"/>
          <w:footerReference w:type="default" r:id="rId9"/>
          <w:headerReference w:type="first" r:id="rId10"/>
          <w:footerReference w:type="first" r:id="rId11"/>
          <w:pgSz w:w="11906" w:h="16838"/>
          <w:pgMar w:top="5670" w:right="851" w:bottom="1134" w:left="851" w:header="680" w:footer="851" w:gutter="0"/>
          <w:cols w:space="720"/>
          <w:titlePg/>
        </w:sectPr>
      </w:pPr>
      <w:r>
        <w:rPr>
          <w:rStyle w:val="Italics"/>
        </w:rPr>
        <w:t>Published March 2018</w:t>
      </w:r>
      <w:r>
        <w:rPr>
          <w:rStyle w:val="Bold"/>
        </w:rPr>
        <w:t xml:space="preserve"> </w:t>
      </w:r>
    </w:p>
    <w:tbl>
      <w:tblPr>
        <w:tblW w:w="5000" w:type="pct"/>
        <w:tblCellMar>
          <w:left w:w="10" w:type="dxa"/>
          <w:right w:w="10" w:type="dxa"/>
        </w:tblCellMar>
        <w:tblLook w:val="0000" w:firstRow="0" w:lastRow="0" w:firstColumn="0" w:lastColumn="0" w:noHBand="0" w:noVBand="0"/>
      </w:tblPr>
      <w:tblGrid>
        <w:gridCol w:w="10420"/>
      </w:tblGrid>
      <w:tr w:rsidR="00BF01D8">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1D8" w:rsidRDefault="00CB4F73">
            <w:r>
              <w:rPr>
                <w:rStyle w:val="Bold"/>
              </w:rPr>
              <w:lastRenderedPageBreak/>
              <w:t xml:space="preserve">DH ID box </w:t>
            </w:r>
          </w:p>
        </w:tc>
      </w:tr>
      <w:tr w:rsidR="00BF01D8">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1D8" w:rsidRDefault="00CB4F73">
            <w:r>
              <w:rPr>
                <w:rStyle w:val="Bold"/>
              </w:rPr>
              <w:t>Title: NHS Continuing Healthcare Decision Support Tool</w:t>
            </w:r>
          </w:p>
        </w:tc>
      </w:tr>
      <w:tr w:rsidR="00BF01D8">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1D8" w:rsidRDefault="00CB4F73">
            <w:r>
              <w:rPr>
                <w:rStyle w:val="Bold"/>
              </w:rPr>
              <w:t xml:space="preserve">Author: </w:t>
            </w:r>
          </w:p>
          <w:p w:rsidR="00BF01D8" w:rsidRDefault="00CB4F73">
            <w:r>
              <w:rPr>
                <w:rStyle w:val="Bold"/>
              </w:rPr>
              <w:t>SCLGCP-SCP</w:t>
            </w:r>
            <w:r>
              <w:rPr>
                <w:rStyle w:val="Bold"/>
              </w:rPr>
              <w:t xml:space="preserve"> 25370 </w:t>
            </w:r>
          </w:p>
        </w:tc>
      </w:tr>
      <w:tr w:rsidR="00BF01D8">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1D8" w:rsidRDefault="00CB4F73">
            <w:r>
              <w:rPr>
                <w:rStyle w:val="Bold"/>
              </w:rPr>
              <w:t xml:space="preserve">Document Purpose: </w:t>
            </w:r>
          </w:p>
          <w:p w:rsidR="00BF01D8" w:rsidRDefault="00CB4F73">
            <w:r>
              <w:t>Guidance</w:t>
            </w:r>
          </w:p>
        </w:tc>
      </w:tr>
      <w:tr w:rsidR="00BF01D8">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1D8" w:rsidRDefault="00CB4F73">
            <w:r>
              <w:rPr>
                <w:rStyle w:val="Bold"/>
              </w:rPr>
              <w:t xml:space="preserve">Publication date: </w:t>
            </w:r>
          </w:p>
          <w:p w:rsidR="00BF01D8" w:rsidRDefault="00CB4F73">
            <w:r>
              <w:t>March 2018</w:t>
            </w:r>
          </w:p>
        </w:tc>
      </w:tr>
      <w:tr w:rsidR="00BF01D8">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1D8" w:rsidRDefault="00CB4F73">
            <w:r>
              <w:rPr>
                <w:rStyle w:val="Bold"/>
              </w:rPr>
              <w:t>Target audience:</w:t>
            </w:r>
          </w:p>
          <w:p w:rsidR="00BF01D8" w:rsidRDefault="00CB4F73">
            <w:r>
              <w:t>Health and social care professionals</w:t>
            </w:r>
          </w:p>
          <w:p w:rsidR="00BF01D8" w:rsidRDefault="00CB4F73">
            <w:r>
              <w:t>Public</w:t>
            </w:r>
          </w:p>
        </w:tc>
      </w:tr>
      <w:tr w:rsidR="00BF01D8">
        <w:tblPrEx>
          <w:tblCellMar>
            <w:top w:w="0" w:type="dxa"/>
            <w:bottom w:w="0" w:type="dxa"/>
          </w:tblCellMar>
        </w:tblPrEx>
        <w:tc>
          <w:tcPr>
            <w:tcW w:w="10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1D8" w:rsidRDefault="00CB4F73">
            <w:r>
              <w:rPr>
                <w:rStyle w:val="Bold"/>
              </w:rPr>
              <w:t xml:space="preserve">Contact details: </w:t>
            </w:r>
          </w:p>
          <w:p w:rsidR="00BF01D8" w:rsidRDefault="00CB4F73">
            <w:r>
              <w:t>NHS Continuing Healthcare and NHS-funded Nursing Care team</w:t>
            </w:r>
          </w:p>
          <w:p w:rsidR="00BF01D8" w:rsidRDefault="00CB4F73">
            <w:r>
              <w:t>Department of Health and Social Care</w:t>
            </w:r>
          </w:p>
          <w:p w:rsidR="00BF01D8" w:rsidRDefault="00CB4F73">
            <w:r>
              <w:t>39 Victoria</w:t>
            </w:r>
            <w:r>
              <w:t xml:space="preserve"> Street</w:t>
            </w:r>
          </w:p>
          <w:p w:rsidR="00BF01D8" w:rsidRDefault="00CB4F73">
            <w:r>
              <w:t>London SW1H 0EU</w:t>
            </w:r>
          </w:p>
        </w:tc>
      </w:tr>
    </w:tbl>
    <w:p w:rsidR="00BF01D8" w:rsidRDefault="00BF01D8">
      <w:pPr>
        <w:pStyle w:val="ParagraphTextUnnumbered"/>
      </w:pPr>
    </w:p>
    <w:p w:rsidR="00BF01D8" w:rsidRDefault="00BF01D8">
      <w:pPr>
        <w:pStyle w:val="ParagraphTextUnnumbered"/>
      </w:pPr>
    </w:p>
    <w:p w:rsidR="00BF01D8" w:rsidRDefault="00BF01D8">
      <w:pPr>
        <w:pStyle w:val="ParagraphTextUnnumbered"/>
      </w:pPr>
    </w:p>
    <w:p w:rsidR="00BF01D8" w:rsidRDefault="00BF01D8">
      <w:pPr>
        <w:pStyle w:val="ParagraphTextUnnumbered"/>
      </w:pPr>
    </w:p>
    <w:p w:rsidR="00BF01D8" w:rsidRDefault="00BF01D8">
      <w:pPr>
        <w:pStyle w:val="ParagraphTextUnnumbered"/>
      </w:pPr>
    </w:p>
    <w:p w:rsidR="00BF01D8" w:rsidRDefault="00BF01D8">
      <w:pPr>
        <w:pStyle w:val="ParagraphTextUnnumbered"/>
      </w:pPr>
    </w:p>
    <w:p w:rsidR="00BF01D8" w:rsidRDefault="00BF01D8">
      <w:pPr>
        <w:pStyle w:val="ParagraphTextUnnumbered"/>
      </w:pPr>
    </w:p>
    <w:p w:rsidR="00BF01D8" w:rsidRDefault="00BF01D8">
      <w:pPr>
        <w:pStyle w:val="ParagraphTextUnnumbered"/>
      </w:pPr>
    </w:p>
    <w:p w:rsidR="00BF01D8" w:rsidRDefault="00BF01D8">
      <w:pPr>
        <w:pStyle w:val="ParagraphTextUnnumbered"/>
      </w:pPr>
    </w:p>
    <w:p w:rsidR="00BF01D8" w:rsidRDefault="00BF01D8">
      <w:pPr>
        <w:pStyle w:val="ParagraphTextUnnumbered"/>
      </w:pPr>
    </w:p>
    <w:p w:rsidR="00BF01D8" w:rsidRDefault="00CB4F73">
      <w:pPr>
        <w:pStyle w:val="ParagraphTextUnnumbered"/>
      </w:pPr>
      <w:r>
        <w:t xml:space="preserve">You may re-use the text of this document (not including logos) free of charge in any format or medium, under the terms of the Open Government Licence. To view this licence, visit </w:t>
      </w:r>
      <w:hyperlink r:id="rId12" w:history="1">
        <w:r>
          <w:rPr>
            <w:rStyle w:val="Hyperlink"/>
          </w:rPr>
          <w:t>www.nationalarchives.gov.uk/doc/open-government-licence/</w:t>
        </w:r>
      </w:hyperlink>
    </w:p>
    <w:p w:rsidR="00BF01D8" w:rsidRDefault="00CB4F73">
      <w:pPr>
        <w:pStyle w:val="ParagraphTextUnnumbered"/>
      </w:pPr>
      <w:r>
        <w:t>© Crown copyright 2018</w:t>
      </w:r>
    </w:p>
    <w:p w:rsidR="00BF01D8" w:rsidRDefault="00CB4F73">
      <w:pPr>
        <w:pStyle w:val="ParagraphTextUnnumbered"/>
      </w:pPr>
      <w:r>
        <w:t xml:space="preserve">Published to gov.uk, in PDF format only. </w:t>
      </w:r>
    </w:p>
    <w:p w:rsidR="00BF01D8" w:rsidRDefault="00CB4F73">
      <w:pPr>
        <w:pStyle w:val="ParagraphTextUnnumbered"/>
      </w:pPr>
      <w:hyperlink r:id="rId13" w:history="1">
        <w:r>
          <w:rPr>
            <w:rStyle w:val="Hyperlink"/>
          </w:rPr>
          <w:t>www.gov.uk/dh</w:t>
        </w:r>
      </w:hyperlink>
      <w:r>
        <w:t xml:space="preserve">  </w:t>
      </w:r>
    </w:p>
    <w:p w:rsidR="00BF01D8" w:rsidRDefault="00BF01D8">
      <w:pPr>
        <w:sectPr w:rsidR="00BF01D8">
          <w:headerReference w:type="default" r:id="rId14"/>
          <w:footerReference w:type="default" r:id="rId15"/>
          <w:headerReference w:type="first" r:id="rId16"/>
          <w:footerReference w:type="first" r:id="rId17"/>
          <w:pgSz w:w="11906" w:h="16838"/>
          <w:pgMar w:top="1701" w:right="851" w:bottom="907" w:left="851" w:header="624" w:footer="624" w:gutter="0"/>
          <w:cols w:space="720"/>
          <w:titlePg/>
        </w:sectPr>
      </w:pPr>
      <w:bookmarkStart w:id="1" w:name="_Toc180303268"/>
      <w:bookmarkStart w:id="2" w:name="_Toc287863054"/>
      <w:bookmarkStart w:id="3" w:name="_Toc150919533"/>
    </w:p>
    <w:bookmarkEnd w:id="1"/>
    <w:bookmarkEnd w:id="2"/>
    <w:p w:rsidR="00BF01D8" w:rsidRDefault="00CB4F73">
      <w:pPr>
        <w:pStyle w:val="Heading2"/>
      </w:pPr>
      <w:r>
        <w:lastRenderedPageBreak/>
        <w:t>What is the Decision Support Tool (DST)?</w:t>
      </w:r>
    </w:p>
    <w:p w:rsidR="00BF01D8" w:rsidRDefault="00CB4F73">
      <w:pPr>
        <w:pStyle w:val="BulletList1numbered"/>
      </w:pPr>
      <w:r>
        <w:t xml:space="preserve">The DST is a national tool which has been developed to support practitioners in the application of the </w:t>
      </w:r>
      <w:r>
        <w:rPr>
          <w:rStyle w:val="Italics"/>
        </w:rPr>
        <w:t xml:space="preserve">National Framework </w:t>
      </w:r>
      <w:r>
        <w:t xml:space="preserve">for </w:t>
      </w:r>
      <w:r>
        <w:rPr>
          <w:rStyle w:val="Italics"/>
        </w:rPr>
        <w:t>NHS Continuing Healthcare and</w:t>
      </w:r>
      <w:r>
        <w:t xml:space="preserve"> </w:t>
      </w:r>
      <w:r>
        <w:rPr>
          <w:rStyle w:val="Italics"/>
        </w:rPr>
        <w:t xml:space="preserve">NHS-Funded Nursing Care </w:t>
      </w:r>
      <w:r>
        <w:t xml:space="preserve">2018 (the National Framework). The </w:t>
      </w:r>
      <w:r>
        <w:t xml:space="preserve">tool is a way of bringing together information from the assessment of needs and applying evidence in a single practical format to facilitate consistent evidence-based recommendations and decision making regarding eligibility for NHS Continuing Healthcare. </w:t>
      </w:r>
      <w:r>
        <w:t>All staff who use the DST should be familiar with the principles of the National Framework and have received appropriate training.</w:t>
      </w:r>
    </w:p>
    <w:p w:rsidR="00BF01D8" w:rsidRDefault="00CB4F73">
      <w:pPr>
        <w:pStyle w:val="Heading2"/>
      </w:pPr>
      <w:r>
        <w:t>When should the DST be used?</w:t>
      </w:r>
    </w:p>
    <w:p w:rsidR="00BF01D8" w:rsidRDefault="00CB4F73">
      <w:pPr>
        <w:pStyle w:val="BulletList1numbered"/>
      </w:pPr>
      <w:r>
        <w:t>The DST should be completed by a multidisciplinary team, following a comprehensive assessment an</w:t>
      </w:r>
      <w:r>
        <w:t xml:space="preserve">d evaluation of an individual’s health and social care needs. Where an assessment of needs has been recently completed, this may be used, but care should be taken to ensure that this remains an accurate reflection of current need. </w:t>
      </w:r>
    </w:p>
    <w:p w:rsidR="00BF01D8" w:rsidRDefault="00CB4F73">
      <w:pPr>
        <w:pStyle w:val="BulletList1numbered"/>
      </w:pPr>
      <w:r>
        <w:t>The comprehensive assess</w:t>
      </w:r>
      <w:r>
        <w:t xml:space="preserve">ment of needs should be in a format such that it can also be used to assist Clinical Commissioning Groups (CCGs) and local authorities to meet care needs regardless of whether the individual is found eligible for NHS Continuing Healthcare. </w:t>
      </w:r>
    </w:p>
    <w:p w:rsidR="00BF01D8" w:rsidRDefault="00CB4F73">
      <w:pPr>
        <w:pStyle w:val="BulletList1numbered"/>
      </w:pPr>
      <w:r>
        <w:t xml:space="preserve">The assessment </w:t>
      </w:r>
      <w:r>
        <w:t>of needs should be carried out in accordance with other relevant existing guidance, making use of specialist and any other existing assessments as appropriate. The DST is not an assessment of needs in itself.</w:t>
      </w:r>
    </w:p>
    <w:p w:rsidR="00BF01D8" w:rsidRDefault="00CB4F73">
      <w:pPr>
        <w:pStyle w:val="BulletList1numbered"/>
      </w:pPr>
      <w:r>
        <w:t>The assessment of needs that informs completion</w:t>
      </w:r>
      <w:r>
        <w:t xml:space="preserve"> of the DST should be carried out with the knowledge and consent of the individual, and the individual should be given a full opportunity to participate. The individual should be given the opportunity to be supported or represented by a carer, family membe</w:t>
      </w:r>
      <w:r>
        <w:t>r, friend or advocate if they so wish. The eligibility assessment process should draw on those who have direct knowledge of the individual and their needs.</w:t>
      </w:r>
    </w:p>
    <w:p w:rsidR="00BF01D8" w:rsidRDefault="00CB4F73">
      <w:pPr>
        <w:pStyle w:val="BulletList1numbered"/>
      </w:pPr>
      <w:r>
        <w:t>An individual will be eligible for NHS Continuing Healthcare where it is identified that they have a</w:t>
      </w:r>
      <w:r>
        <w:t xml:space="preserve"> ‘primary health need’. The decision as to whether an individual has a primary health need takes into account the legal limits of local authority provision. Using the DST correctly should ensure that all needs and circumstances that might affect an individ</w:t>
      </w:r>
      <w:r>
        <w:t xml:space="preserve">ual’s eligibility are taken into account in making this decision. Primary health need is explained in paragraphs 54-66 the National Framework. </w:t>
      </w:r>
    </w:p>
    <w:p w:rsidR="00BF01D8" w:rsidRDefault="00CB4F73">
      <w:pPr>
        <w:pStyle w:val="BulletList1numbered"/>
      </w:pPr>
      <w:r>
        <w:t xml:space="preserve">Completion of the tool should be carried out in a manner that is compatible with wider legislation and national </w:t>
      </w:r>
      <w:r>
        <w:t>policies where appropriate.</w:t>
      </w:r>
    </w:p>
    <w:p w:rsidR="00BF01D8" w:rsidRDefault="00CB4F73">
      <w:pPr>
        <w:pStyle w:val="ParagraphTextUnnumbered"/>
        <w:sectPr w:rsidR="00BF01D8">
          <w:headerReference w:type="default" r:id="rId18"/>
          <w:footerReference w:type="default" r:id="rId19"/>
          <w:headerReference w:type="first" r:id="rId20"/>
          <w:footerReference w:type="first" r:id="rId21"/>
          <w:pgSz w:w="11906" w:h="16838"/>
          <w:pgMar w:top="1418" w:right="851" w:bottom="907" w:left="851" w:header="624" w:footer="624" w:gutter="0"/>
          <w:cols w:space="720"/>
          <w:titlePg/>
        </w:sectPr>
      </w:pPr>
      <w:r>
        <w:rPr>
          <w:noProof/>
        </w:rPr>
        <mc:AlternateContent>
          <mc:Choice Requires="wps">
            <w:drawing>
              <wp:anchor distT="0" distB="0" distL="114300" distR="114300" simplePos="0" relativeHeight="251659264" behindDoc="0" locked="0" layoutInCell="1" allowOverlap="1">
                <wp:simplePos x="0" y="0"/>
                <wp:positionH relativeFrom="column">
                  <wp:posOffset>-93341</wp:posOffset>
                </wp:positionH>
                <wp:positionV relativeFrom="paragraph">
                  <wp:posOffset>257805</wp:posOffset>
                </wp:positionV>
                <wp:extent cx="6837682" cy="1550036"/>
                <wp:effectExtent l="0" t="0" r="20318" b="12064"/>
                <wp:wrapSquare wrapText="bothSides"/>
                <wp:docPr id="11" name="Text Box 2"/>
                <wp:cNvGraphicFramePr/>
                <a:graphic xmlns:a="http://schemas.openxmlformats.org/drawingml/2006/main">
                  <a:graphicData uri="http://schemas.microsoft.com/office/word/2010/wordprocessingShape">
                    <wps:wsp>
                      <wps:cNvSpPr txBox="1"/>
                      <wps:spPr>
                        <a:xfrm>
                          <a:off x="0" y="0"/>
                          <a:ext cx="6837682" cy="1550036"/>
                        </a:xfrm>
                        <a:prstGeom prst="rect">
                          <a:avLst/>
                        </a:prstGeom>
                        <a:solidFill>
                          <a:srgbClr val="FFFFFF"/>
                        </a:solidFill>
                        <a:ln w="9528">
                          <a:solidFill>
                            <a:srgbClr val="000000"/>
                          </a:solidFill>
                          <a:prstDash val="solid"/>
                        </a:ln>
                      </wps:spPr>
                      <wps:txbx>
                        <w:txbxContent>
                          <w:p w:rsidR="00BF01D8" w:rsidRDefault="00CB4F73">
                            <w:pPr>
                              <w:spacing w:after="0"/>
                              <w:rPr>
                                <w:rFonts w:cs="Arial"/>
                                <w:i/>
                              </w:rPr>
                            </w:pPr>
                            <w:r>
                              <w:rPr>
                                <w:rFonts w:cs="Arial"/>
                                <w:i/>
                              </w:rPr>
                              <w:t xml:space="preserve">Note: </w:t>
                            </w:r>
                          </w:p>
                          <w:p w:rsidR="00BF01D8" w:rsidRDefault="00CB4F73">
                            <w:pPr>
                              <w:spacing w:after="0"/>
                              <w:rPr>
                                <w:rFonts w:cs="Arial"/>
                                <w:i/>
                              </w:rPr>
                            </w:pPr>
                            <w:r>
                              <w:rPr>
                                <w:rFonts w:cs="Arial"/>
                                <w:i/>
                              </w:rPr>
                              <w:t xml:space="preserve">Whilst this document is intended to be as clear and accessible as possible, the nature of the NHS Continuing Healthcare process is such that some words used may not be immediately understandable to someone who is not </w:t>
                            </w:r>
                            <w:r>
                              <w:rPr>
                                <w:rFonts w:cs="Arial"/>
                                <w:i/>
                              </w:rPr>
                              <w:t>professionally trained. As far as is possible, professionals completing the DST should make sure that individuals, and carers or representatives (where consent is given), understand and agree to what has been written. In some situations advocacy support ma</w:t>
                            </w:r>
                            <w:r>
                              <w:rPr>
                                <w:rFonts w:cs="Arial"/>
                                <w:i/>
                              </w:rPr>
                              <w:t>y be needed.</w:t>
                            </w:r>
                          </w:p>
                          <w:p w:rsidR="00BF01D8" w:rsidRDefault="00CB4F73">
                            <w:pPr>
                              <w:spacing w:after="0"/>
                              <w:rPr>
                                <w:rFonts w:cs="Arial"/>
                                <w:i/>
                              </w:rPr>
                            </w:pPr>
                            <w:r>
                              <w:rPr>
                                <w:rFonts w:cs="Arial"/>
                                <w:i/>
                              </w:rPr>
                              <w:t>The national tools are available electronically (as Word documents) and pages or text boxes can be expanded as necessary.</w:t>
                            </w:r>
                          </w:p>
                          <w:p w:rsidR="00BF01D8" w:rsidRDefault="00BF01D8"/>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5pt;margin-top:20.3pt;width:538.4pt;height:12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" strokeweight=".26467mm">
                <v:textbox>
                  <w:txbxContent>
                    <w:p w:rsidR="00BF01D8" w:rsidRDefault="00CB4F73">
                      <w:pPr>
                        <w:spacing w:after="0"/>
                        <w:rPr>
                          <w:rFonts w:cs="Arial"/>
                          <w:i/>
                        </w:rPr>
                      </w:pPr>
                      <w:r>
                        <w:rPr>
                          <w:rFonts w:cs="Arial"/>
                          <w:i/>
                        </w:rPr>
                        <w:t xml:space="preserve">Note: </w:t>
                      </w:r>
                    </w:p>
                    <w:p w:rsidR="00BF01D8" w:rsidRDefault="00CB4F73">
                      <w:pPr>
                        <w:spacing w:after="0"/>
                        <w:rPr>
                          <w:rFonts w:cs="Arial"/>
                          <w:i/>
                        </w:rPr>
                      </w:pPr>
                      <w:r>
                        <w:rPr>
                          <w:rFonts w:cs="Arial"/>
                          <w:i/>
                        </w:rPr>
                        <w:t xml:space="preserve">Whilst this document is intended to be as clear and accessible as possible, the nature of the NHS Continuing Healthcare process is such that some words used may not be immediately understandable to someone who is not </w:t>
                      </w:r>
                      <w:r>
                        <w:rPr>
                          <w:rFonts w:cs="Arial"/>
                          <w:i/>
                        </w:rPr>
                        <w:t>professionally trained. As far as is possible, professionals completing the DST should make sure that individuals, and carers or representatives (where consent is given), understand and agree to what has been written. In some situations advocacy support ma</w:t>
                      </w:r>
                      <w:r>
                        <w:rPr>
                          <w:rFonts w:cs="Arial"/>
                          <w:i/>
                        </w:rPr>
                        <w:t>y be needed.</w:t>
                      </w:r>
                    </w:p>
                    <w:p w:rsidR="00BF01D8" w:rsidRDefault="00CB4F73">
                      <w:pPr>
                        <w:spacing w:after="0"/>
                        <w:rPr>
                          <w:rFonts w:cs="Arial"/>
                          <w:i/>
                        </w:rPr>
                      </w:pPr>
                      <w:r>
                        <w:rPr>
                          <w:rFonts w:cs="Arial"/>
                          <w:i/>
                        </w:rPr>
                        <w:t>The national tools are available electronically (as Word documents) and pages or text boxes can be expanded as necessary.</w:t>
                      </w:r>
                    </w:p>
                    <w:p w:rsidR="00BF01D8" w:rsidRDefault="00BF01D8"/>
                  </w:txbxContent>
                </v:textbox>
                <w10:wrap type="square"/>
              </v:shape>
            </w:pict>
          </mc:Fallback>
        </mc:AlternateContent>
      </w:r>
      <w:bookmarkStart w:id="4" w:name="_Toc287863055"/>
    </w:p>
    <w:p w:rsidR="00BF01D8" w:rsidRDefault="00CB4F73">
      <w:pPr>
        <w:pStyle w:val="Heading2"/>
      </w:pPr>
      <w:bookmarkStart w:id="5" w:name="_Toc287863056"/>
      <w:bookmarkEnd w:id="3"/>
      <w:bookmarkEnd w:id="4"/>
      <w:r>
        <w:lastRenderedPageBreak/>
        <w:t>How should consent be approached with the DST?</w:t>
      </w:r>
    </w:p>
    <w:p w:rsidR="00BF01D8" w:rsidRDefault="00CB4F73">
      <w:pPr>
        <w:pStyle w:val="BulletList1numbered"/>
      </w:pPr>
      <w:r>
        <w:t>Where the individual concerned has capacity, their informed consent sho</w:t>
      </w:r>
      <w:r>
        <w:t>uld be obtained before completion of the Decision Support Tool (if consent has not already been obtained when the Checklist was completed). This consent needs to cover both the completion of the tool and the sharing of relevant information between the prof</w:t>
      </w:r>
      <w:r>
        <w:t>essionals involved. Please see paragraphs 72-73 of National Framework which gives detailed guidance on what is required for consent to be valid.</w:t>
      </w:r>
    </w:p>
    <w:p w:rsidR="00BF01D8" w:rsidRDefault="00CB4F73">
      <w:pPr>
        <w:pStyle w:val="BulletList1numbered"/>
      </w:pPr>
      <w:r>
        <w:t>If there is a concern that the individual may not have capacity to give consent to the assessment process or to</w:t>
      </w:r>
      <w:r>
        <w:t xml:space="preserve"> the sharing of information, this should be determined in accordance with the Mental Capacity Act 2005 and the associated code of practice. It may be necessary for best interests decisions to be made, bearing in mind the expectation that all who are potent</w:t>
      </w:r>
      <w:r>
        <w:t xml:space="preserve">ially eligible for NHS Continuing Healthcare should have the opportunity to be considered for eligibility. Guidance on the application of the Mental Capacity Act in such situations is provided in paragraphs 74-81 of the National Framework. </w:t>
      </w:r>
    </w:p>
    <w:p w:rsidR="00BF01D8" w:rsidRDefault="00CB4F73">
      <w:pPr>
        <w:pStyle w:val="BulletList1numbered"/>
      </w:pPr>
      <w:r>
        <w:t>The fact that a</w:t>
      </w:r>
      <w:r>
        <w:t>n individual may have significant difficulties in expressing their views does not of itself mean that they lack capacity to make a decision. Appropriate support and adjustments should be made available in compliance with the Mental Capacity Act and with eq</w:t>
      </w:r>
      <w:r>
        <w:t>ualities legislation.</w:t>
      </w:r>
    </w:p>
    <w:p w:rsidR="00BF01D8" w:rsidRDefault="00CB4F73">
      <w:pPr>
        <w:pStyle w:val="BulletList1numbered"/>
      </w:pPr>
      <w:r>
        <w:t>Robust data-sharing protocols, both within an organisation and between organisations, will help to ensure that confidentiality is respected but that all necessary information is available to complete the DST. The duty to share informa</w:t>
      </w:r>
      <w:r>
        <w:t>tion (for the purposes of providing an individual with health or adult social care) as set out in Section 251B of the Health and Social Care Act 2012 applies equally to assessments for NHS Continuing Healthcare as it does to other health and/or care and su</w:t>
      </w:r>
      <w:r>
        <w:t>pport assessments.</w:t>
      </w:r>
    </w:p>
    <w:p w:rsidR="00BF01D8" w:rsidRDefault="00CB4F73">
      <w:pPr>
        <w:pStyle w:val="Heading2"/>
      </w:pPr>
      <w:r>
        <w:t>Who can complete the DST? The Multidisciplinary Team (MDT)</w:t>
      </w:r>
    </w:p>
    <w:p w:rsidR="00BF01D8" w:rsidRDefault="00CB4F73">
      <w:pPr>
        <w:pStyle w:val="BulletList1numbered"/>
      </w:pPr>
      <w:r>
        <w:t>In accordance with regulations an MDT in this context means a team consisting of at least:</w:t>
      </w:r>
    </w:p>
    <w:p w:rsidR="00BF01D8" w:rsidRDefault="00CB4F73">
      <w:pPr>
        <w:pStyle w:val="BulletList2"/>
        <w:numPr>
          <w:ilvl w:val="1"/>
          <w:numId w:val="1"/>
        </w:numPr>
      </w:pPr>
      <w:r>
        <w:t xml:space="preserve">two professionals who are from different healthcare professions, or </w:t>
      </w:r>
    </w:p>
    <w:p w:rsidR="00BF01D8" w:rsidRDefault="00CB4F73">
      <w:pPr>
        <w:pStyle w:val="BulletList2"/>
        <w:numPr>
          <w:ilvl w:val="1"/>
          <w:numId w:val="1"/>
        </w:numPr>
      </w:pPr>
      <w:r>
        <w:t>one professional w</w:t>
      </w:r>
      <w:r>
        <w:t xml:space="preserve">ho is from a healthcare profession and one person who is responsible for assessing persons who may have needs for care and support under part 1 of the Care Act 2014. </w:t>
      </w:r>
    </w:p>
    <w:p w:rsidR="00BF01D8" w:rsidRDefault="00CB4F73">
      <w:pPr>
        <w:pStyle w:val="BulletList1numbered"/>
      </w:pPr>
      <w:r>
        <w:t>Whilst as a minimum requirement an MDT can comprise two professionals from different heal</w:t>
      </w:r>
      <w:r>
        <w:t>thcare professions, the MDT should usually include both health and social care professionals, who are knowledgeable about the individual’s health and social care needs and, where possible, have recently been involved in the assessment, treatment or care of</w:t>
      </w:r>
      <w:r>
        <w:t xml:space="preserve"> the individual. CCGs may use a number of approaches (e.g. face-to-face, video/tele conferencing etc.) to arranging these MDT assessments in order to ensure active participation of all members as far as possible</w:t>
      </w:r>
    </w:p>
    <w:p w:rsidR="00BF01D8" w:rsidRDefault="00BF01D8">
      <w:pPr>
        <w:pStyle w:val="Heading2"/>
      </w:pPr>
    </w:p>
    <w:p w:rsidR="00BF01D8" w:rsidRDefault="00CB4F73">
      <w:pPr>
        <w:pStyle w:val="Heading2"/>
      </w:pPr>
      <w:r>
        <w:lastRenderedPageBreak/>
        <w:t>What is the role of the individual/represen</w:t>
      </w:r>
      <w:r>
        <w:t>tative in the assessment of eligibility process?</w:t>
      </w:r>
    </w:p>
    <w:p w:rsidR="00BF01D8" w:rsidRDefault="00CB4F73">
      <w:pPr>
        <w:pStyle w:val="BulletList1numbered"/>
      </w:pPr>
      <w:r>
        <w:t>The individual should be invited to be present or represented wherever practicable. The individual and their representative(s) should be given reasonable notice of completion of the DST to enable them to arr</w:t>
      </w:r>
      <w:r>
        <w:t>ange for a family member or other person to be present, taking into account their personal circumstances. If it is not practicable for the individual (or their representative) to be present, their views should be obtained and actively considered in the com</w:t>
      </w:r>
      <w:r>
        <w:t>pletion of the DST. Those completing the DST should record how the individual (or their representative) contributed to the assessment of their needs, and if they were not involved why this was.</w:t>
      </w:r>
    </w:p>
    <w:p w:rsidR="00BF01D8" w:rsidRDefault="00CB4F73">
      <w:pPr>
        <w:pStyle w:val="BulletList1numbered"/>
      </w:pPr>
      <w:r>
        <w:t>Even where an individual has not chosen someone else to suppor</w:t>
      </w:r>
      <w:r>
        <w:t>t or represent them, where consent has been given the views and knowledge of family members should be taken into account.</w:t>
      </w:r>
    </w:p>
    <w:p w:rsidR="00BF01D8" w:rsidRDefault="00CB4F73">
      <w:pPr>
        <w:pStyle w:val="BulletList1numbered"/>
      </w:pPr>
      <w:r>
        <w:t>Completion of the DST should be organised so that the individual understands the process, and receives advice and information to enabl</w:t>
      </w:r>
      <w:r>
        <w:t>e them to participate in informed decisions about their future care and support. The reasons for any decisions should be transparent and clearly documented.</w:t>
      </w:r>
    </w:p>
    <w:p w:rsidR="00BF01D8" w:rsidRDefault="00CB4F73">
      <w:pPr>
        <w:pStyle w:val="Heading2"/>
      </w:pPr>
      <w:r>
        <w:t xml:space="preserve">How should the DST be used? </w:t>
      </w:r>
    </w:p>
    <w:p w:rsidR="00BF01D8" w:rsidRDefault="00CB4F73">
      <w:pPr>
        <w:pStyle w:val="BulletList1numbered"/>
      </w:pPr>
      <w:r>
        <w:t>All sections of the DST must be completed.</w:t>
      </w:r>
    </w:p>
    <w:p w:rsidR="00BF01D8" w:rsidRDefault="00CB4F73">
      <w:pPr>
        <w:pStyle w:val="BulletList1numbered"/>
      </w:pPr>
      <w:r>
        <w:t>The DST is intended to supp</w:t>
      </w:r>
      <w:r>
        <w:t>ort the process of determining eligibility, and ensure consistent and comprehensive consideration of an individual’s needs. The evidence set out in the tool should be used by the MDT to help make a recommendation based on the four key characteristics of na</w:t>
      </w:r>
      <w:r>
        <w:t xml:space="preserve">ture, intensity, complexity and unpredictability of need, as explained in paragraphs 147-152 of the National Framework and Practice Guidance note 3. </w:t>
      </w:r>
    </w:p>
    <w:p w:rsidR="00BF01D8" w:rsidRDefault="00CB4F73">
      <w:pPr>
        <w:pStyle w:val="BulletList1numbered"/>
      </w:pPr>
      <w:r>
        <w:t xml:space="preserve">The DST requires the MDT to set out the individual’s needs in relation to 12 care domains. Each domain is </w:t>
      </w:r>
      <w:r>
        <w:t>broken down into a number of levels, each of which is carefully described. The levels represent a hierarchy from the lowest to the highest possible level of need (and support required) such that, whatever the extent of the need within a given domain, it sh</w:t>
      </w:r>
      <w:r>
        <w:t xml:space="preserve">ould be possible to locate this within the descriptors provided. This involves matching, as far as possible, the extent and type of the individual’s specific needs with the descriptor in the DST that most closely relate to them. This approach should build </w:t>
      </w:r>
      <w:r>
        <w:t>up a detailed picture of needs and provide the evidence to inform the decision regarding eligibility. However an exact match will not always be possible and, apart from more obvious cases, the domain descriptor levels will not determine eligibility but mer</w:t>
      </w:r>
      <w:r>
        <w:t>ely help inform consideration of the "primary health need" test using the four key characteristics of nature, intensity, complexity and unpredictability. These four key characteristics should be applied to the totality of needs.</w:t>
      </w:r>
    </w:p>
    <w:p w:rsidR="00BF01D8" w:rsidRDefault="00CB4F73">
      <w:pPr>
        <w:pStyle w:val="Heading2"/>
      </w:pPr>
      <w:r>
        <w:t>How are the care domains di</w:t>
      </w:r>
      <w:r>
        <w:t>vided into levels of need?</w:t>
      </w:r>
    </w:p>
    <w:p w:rsidR="00BF01D8" w:rsidRDefault="00CB4F73">
      <w:pPr>
        <w:pStyle w:val="BulletList1numbered"/>
      </w:pPr>
      <w:r>
        <w:t xml:space="preserve">Each domain is subdivided into statements of need representing no needs (‘N’ in the table below) low (L), moderate (M), high (H), severe (S) or priority (P) levels of need, depending on the domain (see Figure 1). The table below </w:t>
      </w:r>
      <w:r>
        <w:t xml:space="preserve">sets out the full range of the domains. The </w:t>
      </w:r>
      <w:r>
        <w:lastRenderedPageBreak/>
        <w:t>detailed descriptors of them are set out in the 12 domain tables for completion later in this document.</w:t>
      </w:r>
    </w:p>
    <w:p w:rsidR="00BF01D8" w:rsidRDefault="00CB4F73">
      <w:r>
        <w:rPr>
          <w:noProof/>
        </w:rPr>
        <mc:AlternateContent>
          <mc:Choice Requires="wpg">
            <w:drawing>
              <wp:anchor distT="0" distB="0" distL="114300" distR="114300" simplePos="0" relativeHeight="251660288" behindDoc="0" locked="0" layoutInCell="1" allowOverlap="1">
                <wp:simplePos x="0" y="0"/>
                <wp:positionH relativeFrom="column">
                  <wp:posOffset>-44211</wp:posOffset>
                </wp:positionH>
                <wp:positionV relativeFrom="paragraph">
                  <wp:posOffset>33183</wp:posOffset>
                </wp:positionV>
                <wp:extent cx="6675120" cy="4975863"/>
                <wp:effectExtent l="0" t="0" r="11430" b="0"/>
                <wp:wrapNone/>
                <wp:docPr id="12" name="Group 359" descr="Representation of the twelve care domains alongside all possible levels of need, within the Decision Support tool" title="Figure 1: How the different care domains are divided into levls of need"/>
                <wp:cNvGraphicFramePr/>
                <a:graphic xmlns:a="http://schemas.openxmlformats.org/drawingml/2006/main">
                  <a:graphicData uri="http://schemas.microsoft.com/office/word/2010/wordprocessingGroup">
                    <wpg:wgp>
                      <wpg:cNvGrpSpPr/>
                      <wpg:grpSpPr>
                        <a:xfrm>
                          <a:off x="0" y="0"/>
                          <a:ext cx="6675120" cy="4975863"/>
                          <a:chOff x="0" y="0"/>
                          <a:chExt cx="6675120" cy="4975863"/>
                        </a:xfrm>
                      </wpg:grpSpPr>
                      <wpg:grpSp>
                        <wpg:cNvPr id="13" name="Group 357"/>
                        <wpg:cNvGrpSpPr/>
                        <wpg:grpSpPr>
                          <a:xfrm>
                            <a:off x="42337" y="311289"/>
                            <a:ext cx="6560160" cy="4664574"/>
                            <a:chOff x="0" y="0"/>
                            <a:chExt cx="6560160" cy="4664574"/>
                          </a:xfrm>
                        </wpg:grpSpPr>
                        <wps:wsp>
                          <wps:cNvPr id="14" name="Text Box 2"/>
                          <wps:cNvSpPr txBox="1"/>
                          <wps:spPr>
                            <a:xfrm>
                              <a:off x="2638994" y="3206792"/>
                              <a:ext cx="748491" cy="392113"/>
                            </a:xfrm>
                            <a:prstGeom prst="rect">
                              <a:avLst/>
                            </a:prstGeom>
                          </wps:spPr>
                          <wps:txbx>
                            <w:txbxContent>
                              <w:p w:rsidR="00BF01D8" w:rsidRDefault="00CB4F73">
                                <w:pPr>
                                  <w:jc w:val="center"/>
                                  <w:rPr>
                                    <w:b/>
                                    <w:sz w:val="16"/>
                                    <w:szCs w:val="16"/>
                                  </w:rPr>
                                </w:pPr>
                                <w:r>
                                  <w:rPr>
                                    <w:b/>
                                    <w:sz w:val="16"/>
                                    <w:szCs w:val="16"/>
                                  </w:rPr>
                                  <w:t>Mobility</w:t>
                                </w:r>
                              </w:p>
                            </w:txbxContent>
                          </wps:txbx>
                          <wps:bodyPr vert="horz" wrap="square" lIns="91440" tIns="45720" rIns="91440" bIns="45720" anchor="t" anchorCtr="0" compatLnSpc="0"/>
                        </wps:wsp>
                        <wps:wsp>
                          <wps:cNvPr id="15" name="Text Box 2"/>
                          <wps:cNvSpPr txBox="1"/>
                          <wps:spPr>
                            <a:xfrm>
                              <a:off x="3972610" y="3581120"/>
                              <a:ext cx="769321" cy="351879"/>
                            </a:xfrm>
                            <a:prstGeom prst="rect">
                              <a:avLst/>
                            </a:prstGeom>
                          </wps:spPr>
                          <wps:txbx>
                            <w:txbxContent>
                              <w:p w:rsidR="00BF01D8" w:rsidRDefault="00CB4F73">
                                <w:pPr>
                                  <w:jc w:val="center"/>
                                  <w:rPr>
                                    <w:b/>
                                    <w:sz w:val="16"/>
                                    <w:szCs w:val="16"/>
                                  </w:rPr>
                                </w:pPr>
                                <w:r>
                                  <w:rPr>
                                    <w:b/>
                                    <w:sz w:val="16"/>
                                    <w:szCs w:val="16"/>
                                  </w:rPr>
                                  <w:t>Cognition</w:t>
                                </w:r>
                              </w:p>
                            </w:txbxContent>
                          </wps:txbx>
                          <wps:bodyPr vert="horz" wrap="square" lIns="91440" tIns="45720" rIns="91440" bIns="45720" anchor="t" anchorCtr="0" compatLnSpc="0"/>
                        </wps:wsp>
                        <wps:wsp>
                          <wps:cNvPr id="16" name="Text Box 2"/>
                          <wps:cNvSpPr txBox="1"/>
                          <wps:spPr>
                            <a:xfrm>
                              <a:off x="5729593" y="2618915"/>
                              <a:ext cx="830567" cy="609758"/>
                            </a:xfrm>
                            <a:prstGeom prst="rect">
                              <a:avLst/>
                            </a:prstGeom>
                          </wps:spPr>
                          <wps:txbx>
                            <w:txbxContent>
                              <w:p w:rsidR="00BF01D8" w:rsidRDefault="00CB4F73">
                                <w:pPr>
                                  <w:spacing w:after="0" w:line="240" w:lineRule="auto"/>
                                  <w:jc w:val="center"/>
                                  <w:rPr>
                                    <w:b/>
                                    <w:sz w:val="16"/>
                                    <w:szCs w:val="16"/>
                                  </w:rPr>
                                </w:pPr>
                                <w:r>
                                  <w:rPr>
                                    <w:b/>
                                    <w:sz w:val="16"/>
                                    <w:szCs w:val="16"/>
                                  </w:rPr>
                                  <w:t>Other Significant care needs</w:t>
                                </w:r>
                              </w:p>
                            </w:txbxContent>
                          </wps:txbx>
                          <wps:bodyPr vert="horz" wrap="square" lIns="91440" tIns="45720" rIns="91440" bIns="45720" anchor="t" anchorCtr="0" compatLnSpc="0"/>
                        </wps:wsp>
                        <wps:wsp>
                          <wps:cNvPr id="17" name="Straight Arrow Connector 64"/>
                          <wps:cNvCnPr/>
                          <wps:spPr>
                            <a:xfrm flipV="1">
                              <a:off x="1263051" y="2260251"/>
                              <a:ext cx="0" cy="980429"/>
                            </a:xfrm>
                            <a:prstGeom prst="straightConnector1">
                              <a:avLst/>
                            </a:prstGeom>
                            <a:noFill/>
                            <a:ln w="19046">
                              <a:solidFill>
                                <a:srgbClr val="000000"/>
                              </a:solidFill>
                              <a:prstDash val="solid"/>
                              <a:tailEnd type="arrow"/>
                            </a:ln>
                          </wps:spPr>
                          <wps:bodyPr/>
                        </wps:wsp>
                        <wps:wsp>
                          <wps:cNvPr id="18" name="Straight Arrow Connector 66"/>
                          <wps:cNvCnPr/>
                          <wps:spPr>
                            <a:xfrm flipV="1">
                              <a:off x="1686418" y="2280550"/>
                              <a:ext cx="0" cy="556303"/>
                            </a:xfrm>
                            <a:prstGeom prst="straightConnector1">
                              <a:avLst/>
                            </a:prstGeom>
                            <a:noFill/>
                            <a:ln w="19046">
                              <a:solidFill>
                                <a:srgbClr val="000000"/>
                              </a:solidFill>
                              <a:prstDash val="solid"/>
                              <a:tailEnd type="arrow"/>
                            </a:ln>
                          </wps:spPr>
                          <wps:bodyPr/>
                        </wps:wsp>
                        <wps:wsp>
                          <wps:cNvPr id="19" name="Straight Arrow Connector 67"/>
                          <wps:cNvCnPr/>
                          <wps:spPr>
                            <a:xfrm flipV="1">
                              <a:off x="2138012" y="2267017"/>
                              <a:ext cx="0" cy="1112011"/>
                            </a:xfrm>
                            <a:prstGeom prst="straightConnector1">
                              <a:avLst/>
                            </a:prstGeom>
                            <a:noFill/>
                            <a:ln w="19046">
                              <a:solidFill>
                                <a:srgbClr val="000000"/>
                              </a:solidFill>
                              <a:prstDash val="solid"/>
                              <a:tailEnd type="arrow"/>
                            </a:ln>
                          </wps:spPr>
                          <wps:bodyPr/>
                        </wps:wsp>
                        <wps:wsp>
                          <wps:cNvPr id="20" name="Straight Arrow Connector 68"/>
                          <wps:cNvCnPr/>
                          <wps:spPr>
                            <a:xfrm flipV="1">
                              <a:off x="2610776" y="2267017"/>
                              <a:ext cx="0" cy="555123"/>
                            </a:xfrm>
                            <a:prstGeom prst="straightConnector1">
                              <a:avLst/>
                            </a:prstGeom>
                            <a:noFill/>
                            <a:ln w="19046">
                              <a:solidFill>
                                <a:srgbClr val="000000"/>
                              </a:solidFill>
                              <a:prstDash val="solid"/>
                              <a:tailEnd type="arrow"/>
                            </a:ln>
                          </wps:spPr>
                          <wps:bodyPr/>
                        </wps:wsp>
                        <wps:wsp>
                          <wps:cNvPr id="21" name="Straight Arrow Connector 69"/>
                          <wps:cNvCnPr/>
                          <wps:spPr>
                            <a:xfrm flipV="1">
                              <a:off x="3034143" y="2253484"/>
                              <a:ext cx="0" cy="1112011"/>
                            </a:xfrm>
                            <a:prstGeom prst="straightConnector1">
                              <a:avLst/>
                            </a:prstGeom>
                            <a:noFill/>
                            <a:ln w="19046">
                              <a:solidFill>
                                <a:srgbClr val="000000"/>
                              </a:solidFill>
                              <a:prstDash val="solid"/>
                              <a:tailEnd type="arrow"/>
                            </a:ln>
                          </wps:spPr>
                          <wps:bodyPr/>
                        </wps:wsp>
                        <wps:wsp>
                          <wps:cNvPr id="22" name="Straight Arrow Connector 70"/>
                          <wps:cNvCnPr/>
                          <wps:spPr>
                            <a:xfrm flipV="1">
                              <a:off x="3485737" y="2273784"/>
                              <a:ext cx="0" cy="1375184"/>
                            </a:xfrm>
                            <a:prstGeom prst="straightConnector1">
                              <a:avLst/>
                            </a:prstGeom>
                            <a:noFill/>
                            <a:ln w="19046">
                              <a:solidFill>
                                <a:srgbClr val="000000"/>
                              </a:solidFill>
                              <a:prstDash val="solid"/>
                              <a:tailEnd type="arrow"/>
                            </a:ln>
                          </wps:spPr>
                          <wps:bodyPr/>
                        </wps:wsp>
                        <wps:wsp>
                          <wps:cNvPr id="23" name="Straight Arrow Connector 71"/>
                          <wps:cNvCnPr/>
                          <wps:spPr>
                            <a:xfrm flipV="1">
                              <a:off x="6152960" y="2280550"/>
                              <a:ext cx="0" cy="395936"/>
                            </a:xfrm>
                            <a:prstGeom prst="straightConnector1">
                              <a:avLst/>
                            </a:prstGeom>
                            <a:noFill/>
                            <a:ln w="19046">
                              <a:solidFill>
                                <a:srgbClr val="000000"/>
                              </a:solidFill>
                              <a:prstDash val="solid"/>
                              <a:tailEnd type="arrow"/>
                            </a:ln>
                          </wps:spPr>
                          <wps:bodyPr/>
                        </wps:wsp>
                        <wps:wsp>
                          <wps:cNvPr id="24" name="Straight Arrow Connector 72"/>
                          <wps:cNvCnPr/>
                          <wps:spPr>
                            <a:xfrm flipV="1">
                              <a:off x="5750761" y="2280550"/>
                              <a:ext cx="0" cy="1074420"/>
                            </a:xfrm>
                            <a:prstGeom prst="straightConnector1">
                              <a:avLst/>
                            </a:prstGeom>
                            <a:noFill/>
                            <a:ln w="19046">
                              <a:solidFill>
                                <a:srgbClr val="000000"/>
                              </a:solidFill>
                              <a:prstDash val="solid"/>
                              <a:tailEnd type="arrow"/>
                            </a:ln>
                          </wps:spPr>
                          <wps:bodyPr/>
                        </wps:wsp>
                        <wps:wsp>
                          <wps:cNvPr id="25" name="Straight Arrow Connector 73"/>
                          <wps:cNvCnPr/>
                          <wps:spPr>
                            <a:xfrm flipV="1">
                              <a:off x="5306226" y="2267017"/>
                              <a:ext cx="0" cy="555123"/>
                            </a:xfrm>
                            <a:prstGeom prst="straightConnector1">
                              <a:avLst/>
                            </a:prstGeom>
                            <a:noFill/>
                            <a:ln w="19046">
                              <a:solidFill>
                                <a:srgbClr val="000000"/>
                              </a:solidFill>
                              <a:prstDash val="solid"/>
                              <a:tailEnd type="arrow"/>
                            </a:ln>
                          </wps:spPr>
                          <wps:bodyPr/>
                        </wps:wsp>
                        <wps:wsp>
                          <wps:cNvPr id="26" name="Straight Arrow Connector 74"/>
                          <wps:cNvCnPr/>
                          <wps:spPr>
                            <a:xfrm flipV="1">
                              <a:off x="4819344" y="2239951"/>
                              <a:ext cx="0" cy="1112011"/>
                            </a:xfrm>
                            <a:prstGeom prst="straightConnector1">
                              <a:avLst/>
                            </a:prstGeom>
                            <a:noFill/>
                            <a:ln w="19046">
                              <a:solidFill>
                                <a:srgbClr val="000000"/>
                              </a:solidFill>
                              <a:prstDash val="solid"/>
                              <a:tailEnd type="arrow"/>
                            </a:ln>
                          </wps:spPr>
                          <wps:bodyPr/>
                        </wps:wsp>
                        <wps:wsp>
                          <wps:cNvPr id="27" name="Straight Arrow Connector 75"/>
                          <wps:cNvCnPr/>
                          <wps:spPr>
                            <a:xfrm flipV="1">
                              <a:off x="4381868" y="2239951"/>
                              <a:ext cx="0" cy="1422176"/>
                            </a:xfrm>
                            <a:prstGeom prst="straightConnector1">
                              <a:avLst/>
                            </a:prstGeom>
                            <a:noFill/>
                            <a:ln w="19046">
                              <a:solidFill>
                                <a:srgbClr val="000000"/>
                              </a:solidFill>
                              <a:prstDash val="solid"/>
                              <a:tailEnd type="arrow"/>
                            </a:ln>
                          </wps:spPr>
                          <wps:bodyPr/>
                        </wps:wsp>
                        <wps:wsp>
                          <wps:cNvPr id="28" name="Straight Arrow Connector 76"/>
                          <wps:cNvCnPr/>
                          <wps:spPr>
                            <a:xfrm flipV="1">
                              <a:off x="3916164" y="2280550"/>
                              <a:ext cx="0" cy="706100"/>
                            </a:xfrm>
                            <a:prstGeom prst="straightConnector1">
                              <a:avLst/>
                            </a:prstGeom>
                            <a:noFill/>
                            <a:ln w="19046">
                              <a:solidFill>
                                <a:srgbClr val="000000"/>
                              </a:solidFill>
                              <a:prstDash val="solid"/>
                              <a:tailEnd type="arrow"/>
                            </a:ln>
                          </wps:spPr>
                          <wps:bodyPr/>
                        </wps:wsp>
                        <wps:wsp>
                          <wps:cNvPr id="29" name="Text Box 2"/>
                          <wps:cNvSpPr txBox="1"/>
                          <wps:spPr>
                            <a:xfrm>
                              <a:off x="825483" y="3100868"/>
                              <a:ext cx="748491" cy="561002"/>
                            </a:xfrm>
                            <a:prstGeom prst="rect">
                              <a:avLst/>
                            </a:prstGeom>
                          </wps:spPr>
                          <wps:txbx>
                            <w:txbxContent>
                              <w:p w:rsidR="00BF01D8" w:rsidRDefault="00CB4F73">
                                <w:pPr>
                                  <w:jc w:val="center"/>
                                  <w:rPr>
                                    <w:b/>
                                    <w:sz w:val="16"/>
                                    <w:szCs w:val="16"/>
                                  </w:rPr>
                                </w:pPr>
                                <w:r>
                                  <w:rPr>
                                    <w:b/>
                                    <w:sz w:val="16"/>
                                    <w:szCs w:val="16"/>
                                  </w:rPr>
                                  <w:t>Breathing</w:t>
                                </w:r>
                              </w:p>
                            </w:txbxContent>
                          </wps:txbx>
                          <wps:bodyPr vert="horz" wrap="square" lIns="91440" tIns="45720" rIns="91440" bIns="45720" anchor="t" anchorCtr="0" compatLnSpc="0"/>
                        </wps:wsp>
                        <wps:wsp>
                          <wps:cNvPr id="30" name="Text Box 2"/>
                          <wps:cNvSpPr txBox="1"/>
                          <wps:spPr>
                            <a:xfrm>
                              <a:off x="1305369" y="2690942"/>
                              <a:ext cx="748491" cy="747357"/>
                            </a:xfrm>
                            <a:prstGeom prst="rect">
                              <a:avLst/>
                            </a:prstGeom>
                          </wps:spPr>
                          <wps:txbx>
                            <w:txbxContent>
                              <w:p w:rsidR="00BF01D8" w:rsidRDefault="00CB4F73">
                                <w:pPr>
                                  <w:jc w:val="center"/>
                                  <w:rPr>
                                    <w:b/>
                                    <w:sz w:val="16"/>
                                    <w:szCs w:val="16"/>
                                  </w:rPr>
                                </w:pPr>
                                <w:r>
                                  <w:rPr>
                                    <w:b/>
                                    <w:sz w:val="16"/>
                                    <w:szCs w:val="16"/>
                                  </w:rPr>
                                  <w:t>Nutrition- Food and Drink</w:t>
                                </w:r>
                              </w:p>
                            </w:txbxContent>
                          </wps:txbx>
                          <wps:bodyPr vert="horz" wrap="square" lIns="91440" tIns="45720" rIns="91440" bIns="45720" anchor="t" anchorCtr="0" compatLnSpc="0"/>
                        </wps:wsp>
                        <wps:wsp>
                          <wps:cNvPr id="31" name="Text Box 2"/>
                          <wps:cNvSpPr txBox="1"/>
                          <wps:spPr>
                            <a:xfrm>
                              <a:off x="1699878" y="3251250"/>
                              <a:ext cx="840982" cy="325864"/>
                            </a:xfrm>
                            <a:prstGeom prst="rect">
                              <a:avLst/>
                            </a:prstGeom>
                          </wps:spPr>
                          <wps:txbx>
                            <w:txbxContent>
                              <w:p w:rsidR="00BF01D8" w:rsidRDefault="00CB4F73">
                                <w:pPr>
                                  <w:jc w:val="center"/>
                                  <w:rPr>
                                    <w:b/>
                                    <w:sz w:val="16"/>
                                    <w:szCs w:val="16"/>
                                  </w:rPr>
                                </w:pPr>
                                <w:r>
                                  <w:rPr>
                                    <w:b/>
                                    <w:sz w:val="16"/>
                                    <w:szCs w:val="16"/>
                                  </w:rPr>
                                  <w:t>Continence</w:t>
                                </w:r>
                              </w:p>
                            </w:txbxContent>
                          </wps:txbx>
                          <wps:bodyPr vert="horz" wrap="square" lIns="91440" tIns="45720" rIns="91440" bIns="45720" anchor="t" anchorCtr="0" compatLnSpc="0"/>
                        </wps:wsp>
                        <wps:wsp>
                          <wps:cNvPr id="32" name="Text Box 2"/>
                          <wps:cNvSpPr txBox="1"/>
                          <wps:spPr>
                            <a:xfrm>
                              <a:off x="2197010" y="2742185"/>
                              <a:ext cx="804845" cy="593308"/>
                            </a:xfrm>
                            <a:prstGeom prst="rect">
                              <a:avLst/>
                            </a:prstGeom>
                          </wps:spPr>
                          <wps:txbx>
                            <w:txbxContent>
                              <w:p w:rsidR="00BF01D8" w:rsidRDefault="00CB4F73">
                                <w:pPr>
                                  <w:spacing w:after="0" w:line="240" w:lineRule="auto"/>
                                  <w:jc w:val="center"/>
                                  <w:rPr>
                                    <w:b/>
                                    <w:sz w:val="16"/>
                                    <w:szCs w:val="16"/>
                                  </w:rPr>
                                </w:pPr>
                                <w:r>
                                  <w:rPr>
                                    <w:b/>
                                    <w:sz w:val="16"/>
                                    <w:szCs w:val="16"/>
                                  </w:rPr>
                                  <w:t>Skin and tissue viability</w:t>
                                </w:r>
                              </w:p>
                              <w:p w:rsidR="00BF01D8" w:rsidRDefault="00BF01D8">
                                <w:pPr>
                                  <w:jc w:val="center"/>
                                </w:pPr>
                              </w:p>
                            </w:txbxContent>
                          </wps:txbx>
                          <wps:bodyPr vert="horz" wrap="square" lIns="91440" tIns="45720" rIns="91440" bIns="45720" anchor="t" anchorCtr="0" compatLnSpc="0"/>
                        </wps:wsp>
                        <wps:wsp>
                          <wps:cNvPr id="33" name="Text Box 2"/>
                          <wps:cNvSpPr txBox="1"/>
                          <wps:spPr>
                            <a:xfrm>
                              <a:off x="2885964" y="3555508"/>
                              <a:ext cx="1097014" cy="358645"/>
                            </a:xfrm>
                            <a:prstGeom prst="rect">
                              <a:avLst/>
                            </a:prstGeom>
                          </wps:spPr>
                          <wps:txbx>
                            <w:txbxContent>
                              <w:p w:rsidR="00BF01D8" w:rsidRDefault="00CB4F73">
                                <w:pPr>
                                  <w:jc w:val="center"/>
                                  <w:rPr>
                                    <w:b/>
                                    <w:sz w:val="16"/>
                                    <w:szCs w:val="16"/>
                                  </w:rPr>
                                </w:pPr>
                                <w:r>
                                  <w:rPr>
                                    <w:b/>
                                    <w:sz w:val="16"/>
                                    <w:szCs w:val="16"/>
                                  </w:rPr>
                                  <w:t>Communication</w:t>
                                </w:r>
                              </w:p>
                            </w:txbxContent>
                          </wps:txbx>
                          <wps:bodyPr vert="horz" wrap="square" lIns="91440" tIns="45720" rIns="91440" bIns="45720" anchor="t" anchorCtr="0" compatLnSpc="0"/>
                        </wps:wsp>
                        <wps:wsp>
                          <wps:cNvPr id="34" name="Text Box 2"/>
                          <wps:cNvSpPr txBox="1"/>
                          <wps:spPr>
                            <a:xfrm>
                              <a:off x="3457217" y="2923118"/>
                              <a:ext cx="892436" cy="662482"/>
                            </a:xfrm>
                            <a:prstGeom prst="rect">
                              <a:avLst/>
                            </a:prstGeom>
                          </wps:spPr>
                          <wps:txbx>
                            <w:txbxContent>
                              <w:p w:rsidR="00BF01D8" w:rsidRDefault="00CB4F73">
                                <w:pPr>
                                  <w:spacing w:after="0" w:line="240" w:lineRule="auto"/>
                                  <w:jc w:val="center"/>
                                  <w:rPr>
                                    <w:b/>
                                    <w:sz w:val="16"/>
                                    <w:szCs w:val="16"/>
                                  </w:rPr>
                                </w:pPr>
                                <w:r>
                                  <w:rPr>
                                    <w:b/>
                                    <w:sz w:val="16"/>
                                    <w:szCs w:val="16"/>
                                  </w:rPr>
                                  <w:t>Psychological and emotional needs</w:t>
                                </w:r>
                              </w:p>
                            </w:txbxContent>
                          </wps:txbx>
                          <wps:bodyPr vert="horz" wrap="square" lIns="91440" tIns="45720" rIns="91440" bIns="45720" anchor="t" anchorCtr="0" compatLnSpc="0"/>
                        </wps:wsp>
                        <wps:wsp>
                          <wps:cNvPr id="35" name="Text Box 2"/>
                          <wps:cNvSpPr txBox="1"/>
                          <wps:spPr>
                            <a:xfrm>
                              <a:off x="4445373" y="3243030"/>
                              <a:ext cx="748491" cy="405728"/>
                            </a:xfrm>
                            <a:prstGeom prst="rect">
                              <a:avLst/>
                            </a:prstGeom>
                          </wps:spPr>
                          <wps:txbx>
                            <w:txbxContent>
                              <w:p w:rsidR="00BF01D8" w:rsidRDefault="00CB4F73">
                                <w:pPr>
                                  <w:jc w:val="center"/>
                                  <w:rPr>
                                    <w:b/>
                                    <w:sz w:val="16"/>
                                    <w:szCs w:val="16"/>
                                  </w:rPr>
                                </w:pPr>
                                <w:r>
                                  <w:rPr>
                                    <w:b/>
                                    <w:sz w:val="16"/>
                                    <w:szCs w:val="16"/>
                                  </w:rPr>
                                  <w:t>Behaviour</w:t>
                                </w:r>
                              </w:p>
                            </w:txbxContent>
                          </wps:txbx>
                          <wps:bodyPr vert="horz" wrap="square" lIns="91440" tIns="45720" rIns="91440" bIns="45720" anchor="t" anchorCtr="0" compatLnSpc="0"/>
                        </wps:wsp>
                        <wps:wsp>
                          <wps:cNvPr id="36" name="Text Box 2"/>
                          <wps:cNvSpPr txBox="1"/>
                          <wps:spPr>
                            <a:xfrm>
                              <a:off x="4798176" y="2753058"/>
                              <a:ext cx="888760" cy="545723"/>
                            </a:xfrm>
                            <a:prstGeom prst="rect">
                              <a:avLst/>
                            </a:prstGeom>
                          </wps:spPr>
                          <wps:txbx>
                            <w:txbxContent>
                              <w:p w:rsidR="00BF01D8" w:rsidRDefault="00CB4F73">
                                <w:pPr>
                                  <w:spacing w:after="0" w:line="240" w:lineRule="auto"/>
                                  <w:jc w:val="center"/>
                                  <w:rPr>
                                    <w:b/>
                                    <w:sz w:val="16"/>
                                    <w:szCs w:val="16"/>
                                  </w:rPr>
                                </w:pPr>
                                <w:r>
                                  <w:rPr>
                                    <w:b/>
                                    <w:sz w:val="16"/>
                                    <w:szCs w:val="16"/>
                                  </w:rPr>
                                  <w:t>Drug therapies etc.</w:t>
                                </w:r>
                              </w:p>
                            </w:txbxContent>
                          </wps:txbx>
                          <wps:bodyPr vert="horz" wrap="square" lIns="91440" tIns="45720" rIns="91440" bIns="45720" anchor="t" anchorCtr="0" compatLnSpc="0"/>
                        </wps:wsp>
                        <wps:wsp>
                          <wps:cNvPr id="37" name="Text Box 2"/>
                          <wps:cNvSpPr txBox="1"/>
                          <wps:spPr>
                            <a:xfrm>
                              <a:off x="5235661" y="3275335"/>
                              <a:ext cx="1045561" cy="536917"/>
                            </a:xfrm>
                            <a:prstGeom prst="rect">
                              <a:avLst/>
                            </a:prstGeom>
                          </wps:spPr>
                          <wps:txbx>
                            <w:txbxContent>
                              <w:p w:rsidR="00BF01D8" w:rsidRDefault="00CB4F73">
                                <w:pPr>
                                  <w:spacing w:after="0" w:line="240" w:lineRule="auto"/>
                                  <w:jc w:val="center"/>
                                  <w:rPr>
                                    <w:b/>
                                    <w:sz w:val="16"/>
                                    <w:szCs w:val="16"/>
                                  </w:rPr>
                                </w:pPr>
                                <w:r>
                                  <w:rPr>
                                    <w:b/>
                                    <w:sz w:val="16"/>
                                    <w:szCs w:val="16"/>
                                  </w:rPr>
                                  <w:t>Altered states of consciousness</w:t>
                                </w:r>
                              </w:p>
                            </w:txbxContent>
                          </wps:txbx>
                          <wps:bodyPr vert="horz" wrap="square" lIns="91440" tIns="45720" rIns="91440" bIns="45720" anchor="t" anchorCtr="0" compatLnSpc="0"/>
                        </wps:wsp>
                        <wps:wsp>
                          <wps:cNvPr id="38" name="Straight Arrow Connector 88"/>
                          <wps:cNvCnPr/>
                          <wps:spPr>
                            <a:xfrm>
                              <a:off x="1150150" y="4290420"/>
                              <a:ext cx="4799649" cy="0"/>
                            </a:xfrm>
                            <a:prstGeom prst="straightConnector1">
                              <a:avLst/>
                            </a:prstGeom>
                            <a:noFill/>
                            <a:ln w="28575">
                              <a:solidFill>
                                <a:srgbClr val="000000"/>
                              </a:solidFill>
                              <a:prstDash val="solid"/>
                              <a:headEnd type="arrow"/>
                              <a:tailEnd type="arrow"/>
                            </a:ln>
                          </wps:spPr>
                          <wps:bodyPr/>
                        </wps:wsp>
                        <wps:wsp>
                          <wps:cNvPr id="39" name="Straight Arrow Connector 89"/>
                          <wps:cNvCnPr/>
                          <wps:spPr>
                            <a:xfrm>
                              <a:off x="444535" y="148883"/>
                              <a:ext cx="0" cy="2884877"/>
                            </a:xfrm>
                            <a:prstGeom prst="straightConnector1">
                              <a:avLst/>
                            </a:prstGeom>
                            <a:noFill/>
                            <a:ln w="28575">
                              <a:solidFill>
                                <a:srgbClr val="000000"/>
                              </a:solidFill>
                              <a:prstDash val="solid"/>
                              <a:headEnd type="arrow"/>
                            </a:ln>
                          </wps:spPr>
                          <wps:bodyPr/>
                        </wps:wsp>
                        <wps:wsp>
                          <wps:cNvPr id="40" name="Text Box 2"/>
                          <wps:cNvSpPr txBox="1"/>
                          <wps:spPr>
                            <a:xfrm>
                              <a:off x="0" y="0"/>
                              <a:ext cx="214993" cy="3585984"/>
                            </a:xfrm>
                            <a:prstGeom prst="rect">
                              <a:avLst/>
                            </a:prstGeom>
                          </wps:spPr>
                          <wps:txbx>
                            <w:txbxContent>
                              <w:p w:rsidR="00BF01D8" w:rsidRDefault="00CB4F73">
                                <w:pPr>
                                  <w:rPr>
                                    <w:b/>
                                  </w:rPr>
                                </w:pPr>
                                <w:r>
                                  <w:rPr>
                                    <w:b/>
                                  </w:rPr>
                                  <w:t>UPREDICTABILITY</w:t>
                                </w:r>
                              </w:p>
                            </w:txbxContent>
                          </wps:txbx>
                          <wps:bodyPr vert="horz" wrap="square" lIns="91440" tIns="45720" rIns="91440" bIns="45720" anchor="t" anchorCtr="0" compatLnSpc="0"/>
                        </wps:wsp>
                        <wps:wsp>
                          <wps:cNvPr id="41" name="Text Box 2"/>
                          <wps:cNvSpPr txBox="1"/>
                          <wps:spPr>
                            <a:xfrm>
                              <a:off x="564486" y="372198"/>
                              <a:ext cx="266447" cy="2526542"/>
                            </a:xfrm>
                            <a:prstGeom prst="rect">
                              <a:avLst/>
                            </a:prstGeom>
                          </wps:spPr>
                          <wps:txbx>
                            <w:txbxContent>
                              <w:p w:rsidR="00BF01D8" w:rsidRDefault="00CB4F73">
                                <w:pPr>
                                  <w:rPr>
                                    <w:b/>
                                  </w:rPr>
                                </w:pPr>
                                <w:r>
                                  <w:rPr>
                                    <w:b/>
                                  </w:rPr>
                                  <w:t>INTENSITY</w:t>
                                </w:r>
                              </w:p>
                            </w:txbxContent>
                          </wps:txbx>
                          <wps:bodyPr vert="horz" wrap="square" lIns="91440" tIns="45720" rIns="91440" bIns="45720" anchor="t" anchorCtr="0" compatLnSpc="0"/>
                        </wps:wsp>
                        <wps:wsp>
                          <wps:cNvPr id="42" name="Text Box 2"/>
                          <wps:cNvSpPr txBox="1"/>
                          <wps:spPr>
                            <a:xfrm>
                              <a:off x="2392033" y="3919740"/>
                              <a:ext cx="2214850" cy="419288"/>
                            </a:xfrm>
                            <a:prstGeom prst="rect">
                              <a:avLst/>
                            </a:prstGeom>
                          </wps:spPr>
                          <wps:txbx>
                            <w:txbxContent>
                              <w:p w:rsidR="00BF01D8" w:rsidRDefault="00CB4F73">
                                <w:pPr>
                                  <w:jc w:val="center"/>
                                  <w:rPr>
                                    <w:b/>
                                  </w:rPr>
                                </w:pPr>
                                <w:r>
                                  <w:rPr>
                                    <w:b/>
                                  </w:rPr>
                                  <w:t>COMPLEXITY</w:t>
                                </w:r>
                              </w:p>
                            </w:txbxContent>
                          </wps:txbx>
                          <wps:bodyPr vert="horz" wrap="square" lIns="91440" tIns="45720" rIns="91440" bIns="45720" anchor="t" anchorCtr="0" compatLnSpc="0"/>
                        </wps:wsp>
                        <wps:wsp>
                          <wps:cNvPr id="43" name="Text Box 2"/>
                          <wps:cNvSpPr txBox="1"/>
                          <wps:spPr>
                            <a:xfrm>
                              <a:off x="2392033" y="4296958"/>
                              <a:ext cx="2214850" cy="367616"/>
                            </a:xfrm>
                            <a:prstGeom prst="rect">
                              <a:avLst/>
                            </a:prstGeom>
                          </wps:spPr>
                          <wps:txbx>
                            <w:txbxContent>
                              <w:p w:rsidR="00BF01D8" w:rsidRDefault="00CB4F73">
                                <w:pPr>
                                  <w:jc w:val="center"/>
                                  <w:rPr>
                                    <w:b/>
                                  </w:rPr>
                                </w:pPr>
                                <w:r>
                                  <w:rPr>
                                    <w:b/>
                                  </w:rPr>
                                  <w:t>INTENSITY</w:t>
                                </w:r>
                              </w:p>
                            </w:txbxContent>
                          </wps:txbx>
                          <wps:bodyPr vert="horz" wrap="square" lIns="91440" tIns="45720" rIns="91440" bIns="45720" anchor="t" anchorCtr="0" compatLnSpc="0"/>
                        </wps:wsp>
                        <wpg:grpSp>
                          <wpg:cNvPr id="44" name="Group 295"/>
                          <wpg:cNvGrpSpPr/>
                          <wpg:grpSpPr>
                            <a:xfrm>
                              <a:off x="1065476" y="81208"/>
                              <a:ext cx="5349798" cy="2171737"/>
                              <a:chOff x="0" y="0"/>
                              <a:chExt cx="5349798" cy="2171737"/>
                            </a:xfrm>
                          </wpg:grpSpPr>
                          <wps:wsp>
                            <wps:cNvPr id="45" name="Rectangle 296"/>
                            <wps:cNvSpPr/>
                            <wps:spPr>
                              <a:xfrm>
                                <a:off x="1333762" y="144940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L</w:t>
                                  </w:r>
                                </w:p>
                              </w:txbxContent>
                            </wps:txbx>
                            <wps:bodyPr vert="horz" wrap="square" lIns="91440" tIns="45720" rIns="91440" bIns="45720" anchor="ctr" anchorCtr="0" compatLnSpc="1"/>
                          </wps:wsp>
                          <wpg:grpSp>
                            <wpg:cNvPr id="46" name="Group 297"/>
                            <wpg:cNvGrpSpPr/>
                            <wpg:grpSpPr>
                              <a:xfrm>
                                <a:off x="0" y="0"/>
                                <a:ext cx="5349798" cy="2171737"/>
                                <a:chOff x="0" y="0"/>
                                <a:chExt cx="5349798" cy="2171737"/>
                              </a:xfrm>
                            </wpg:grpSpPr>
                            <wps:wsp>
                              <wps:cNvPr id="47" name="Rectangle 298"/>
                              <wps:cNvSpPr/>
                              <wps:spPr>
                                <a:xfrm>
                                  <a:off x="0" y="366583"/>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S</w:t>
                                    </w:r>
                                  </w:p>
                                </w:txbxContent>
                              </wps:txbx>
                              <wps:bodyPr vert="horz" wrap="square" lIns="91440" tIns="45720" rIns="91440" bIns="45720" anchor="ctr" anchorCtr="0" compatLnSpc="1"/>
                            </wps:wsp>
                            <wps:wsp>
                              <wps:cNvPr id="48" name="Rectangle 299"/>
                              <wps:cNvSpPr/>
                              <wps:spPr>
                                <a:xfrm>
                                  <a:off x="447873" y="366583"/>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S</w:t>
                                    </w:r>
                                  </w:p>
                                </w:txbxContent>
                              </wps:txbx>
                              <wps:bodyPr vert="horz" wrap="square" lIns="91440" tIns="45720" rIns="91440" bIns="45720" anchor="ctr" anchorCtr="0" compatLnSpc="1"/>
                            </wps:wsp>
                            <wps:wsp>
                              <wps:cNvPr id="49" name="Rectangle 300"/>
                              <wps:cNvSpPr/>
                              <wps:spPr>
                                <a:xfrm>
                                  <a:off x="0" y="0"/>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P</w:t>
                                    </w:r>
                                  </w:p>
                                </w:txbxContent>
                              </wps:txbx>
                              <wps:bodyPr vert="horz" wrap="square" lIns="91440" tIns="45720" rIns="91440" bIns="45720" anchor="ctr" anchorCtr="0" compatLnSpc="1"/>
                            </wps:wsp>
                            <wps:wsp>
                              <wps:cNvPr id="50" name="Rectangle 301"/>
                              <wps:cNvSpPr/>
                              <wps:spPr>
                                <a:xfrm>
                                  <a:off x="889227" y="72672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H</w:t>
                                    </w:r>
                                  </w:p>
                                </w:txbxContent>
                              </wps:txbx>
                              <wps:bodyPr vert="horz" wrap="square" lIns="91440" tIns="45720" rIns="91440" bIns="45720" anchor="ctr" anchorCtr="0" compatLnSpc="1"/>
                            </wps:wsp>
                            <wps:wsp>
                              <wps:cNvPr id="51" name="Rectangle 302"/>
                              <wps:cNvSpPr/>
                              <wps:spPr>
                                <a:xfrm>
                                  <a:off x="1337100" y="36014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S</w:t>
                                    </w:r>
                                  </w:p>
                                </w:txbxContent>
                              </wps:txbx>
                              <wps:bodyPr vert="horz" wrap="square" lIns="91440" tIns="45720" rIns="91440" bIns="45720" anchor="ctr" anchorCtr="0" compatLnSpc="1"/>
                            </wps:wsp>
                            <wps:wsp>
                              <wps:cNvPr id="52" name="Rectangle 303"/>
                              <wps:cNvSpPr/>
                              <wps:spPr>
                                <a:xfrm>
                                  <a:off x="1775792" y="36014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S</w:t>
                                    </w:r>
                                  </w:p>
                                </w:txbxContent>
                              </wps:txbx>
                              <wps:bodyPr vert="horz" wrap="square" lIns="91440" tIns="45720" rIns="91440" bIns="45720" anchor="ctr" anchorCtr="0" compatLnSpc="1"/>
                            </wps:wsp>
                            <wps:wsp>
                              <wps:cNvPr id="53" name="Rectangle 304"/>
                              <wps:cNvSpPr/>
                              <wps:spPr>
                                <a:xfrm>
                                  <a:off x="2223666" y="72672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H</w:t>
                                    </w:r>
                                  </w:p>
                                </w:txbxContent>
                              </wps:txbx>
                              <wps:bodyPr vert="horz" wrap="square" lIns="91440" tIns="45720" rIns="91440" bIns="45720" anchor="ctr" anchorCtr="0" compatLnSpc="1"/>
                            </wps:wsp>
                            <wps:wsp>
                              <wps:cNvPr id="54" name="Rectangle 305"/>
                              <wps:cNvSpPr/>
                              <wps:spPr>
                                <a:xfrm>
                                  <a:off x="2671548" y="72672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H</w:t>
                                    </w:r>
                                  </w:p>
                                </w:txbxContent>
                              </wps:txbx>
                              <wps:bodyPr vert="horz" wrap="square" lIns="91440" tIns="45720" rIns="91440" bIns="45720" anchor="ctr" anchorCtr="0" compatLnSpc="1"/>
                            </wps:wsp>
                            <wps:wsp>
                              <wps:cNvPr id="55" name="Rectangle 306"/>
                              <wps:cNvSpPr/>
                              <wps:spPr>
                                <a:xfrm>
                                  <a:off x="3111566" y="36014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S</w:t>
                                    </w:r>
                                  </w:p>
                                </w:txbxContent>
                              </wps:txbx>
                              <wps:bodyPr vert="horz" wrap="square" lIns="91440" tIns="45720" rIns="91440" bIns="45720" anchor="ctr" anchorCtr="0" compatLnSpc="1"/>
                            </wps:wsp>
                            <wps:wsp>
                              <wps:cNvPr id="56" name="Rectangle 308"/>
                              <wps:cNvSpPr/>
                              <wps:spPr>
                                <a:xfrm>
                                  <a:off x="3559439" y="0"/>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P</w:t>
                                    </w:r>
                                  </w:p>
                                </w:txbxContent>
                              </wps:txbx>
                              <wps:bodyPr vert="horz" wrap="square" lIns="91440" tIns="45720" rIns="91440" bIns="45720" anchor="ctr" anchorCtr="0" compatLnSpc="1"/>
                            </wps:wsp>
                            <wps:wsp>
                              <wps:cNvPr id="57" name="Rectangle 309"/>
                              <wps:cNvSpPr/>
                              <wps:spPr>
                                <a:xfrm>
                                  <a:off x="3559439" y="36014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S</w:t>
                                    </w:r>
                                  </w:p>
                                </w:txbxContent>
                              </wps:txbx>
                              <wps:bodyPr vert="horz" wrap="square" lIns="91440" tIns="45720" rIns="91440" bIns="45720" anchor="ctr" anchorCtr="0" compatLnSpc="1"/>
                            </wps:wsp>
                            <wps:wsp>
                              <wps:cNvPr id="58" name="Rectangle 310"/>
                              <wps:cNvSpPr/>
                              <wps:spPr>
                                <a:xfrm>
                                  <a:off x="4007322" y="0"/>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P</w:t>
                                    </w:r>
                                  </w:p>
                                </w:txbxContent>
                              </wps:txbx>
                              <wps:bodyPr vert="horz" wrap="square" lIns="91440" tIns="45720" rIns="91440" bIns="45720" anchor="ctr" anchorCtr="0" compatLnSpc="1"/>
                            </wps:wsp>
                            <wps:wsp>
                              <wps:cNvPr id="59" name="Rectangle 311"/>
                              <wps:cNvSpPr/>
                              <wps:spPr>
                                <a:xfrm>
                                  <a:off x="4455195" y="0"/>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P</w:t>
                                    </w:r>
                                  </w:p>
                                </w:txbxContent>
                              </wps:txbx>
                              <wps:bodyPr vert="horz" wrap="square" lIns="91440" tIns="45720" rIns="91440" bIns="45720" anchor="ctr" anchorCtr="0" compatLnSpc="1"/>
                            </wps:wsp>
                            <wps:wsp>
                              <wps:cNvPr id="60" name="Rectangle 312"/>
                              <wps:cNvSpPr/>
                              <wps:spPr>
                                <a:xfrm>
                                  <a:off x="4904403" y="36014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S</w:t>
                                    </w:r>
                                  </w:p>
                                </w:txbxContent>
                              </wps:txbx>
                              <wps:bodyPr vert="horz" wrap="square" lIns="91440" tIns="45720" rIns="91440" bIns="45720" anchor="ctr" anchorCtr="0" compatLnSpc="1"/>
                            </wps:wsp>
                            <wps:wsp>
                              <wps:cNvPr id="61" name="Rectangle 313"/>
                              <wps:cNvSpPr/>
                              <wps:spPr>
                                <a:xfrm>
                                  <a:off x="0" y="72672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H</w:t>
                                    </w:r>
                                  </w:p>
                                </w:txbxContent>
                              </wps:txbx>
                              <wps:bodyPr vert="horz" wrap="square" lIns="91440" tIns="45720" rIns="91440" bIns="45720" anchor="ctr" anchorCtr="0" compatLnSpc="1"/>
                            </wps:wsp>
                            <wps:wsp>
                              <wps:cNvPr id="62" name="Rectangle 314"/>
                              <wps:cNvSpPr/>
                              <wps:spPr>
                                <a:xfrm>
                                  <a:off x="0" y="1091081"/>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M</w:t>
                                    </w:r>
                                  </w:p>
                                </w:txbxContent>
                              </wps:txbx>
                              <wps:bodyPr vert="horz" wrap="square" lIns="91440" tIns="45720" rIns="91440" bIns="45720" anchor="ctr" anchorCtr="0" compatLnSpc="1"/>
                            </wps:wsp>
                            <wps:wsp>
                              <wps:cNvPr id="63" name="Rectangle 315"/>
                              <wps:cNvSpPr/>
                              <wps:spPr>
                                <a:xfrm>
                                  <a:off x="0" y="144940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L</w:t>
                                    </w:r>
                                  </w:p>
                                </w:txbxContent>
                              </wps:txbx>
                              <wps:bodyPr vert="horz" wrap="square" lIns="91440" tIns="45720" rIns="91440" bIns="45720" anchor="ctr" anchorCtr="0" compatLnSpc="1"/>
                            </wps:wsp>
                            <wps:wsp>
                              <wps:cNvPr id="64" name="Rectangle 316"/>
                              <wps:cNvSpPr/>
                              <wps:spPr>
                                <a:xfrm>
                                  <a:off x="0" y="1807175"/>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N</w:t>
                                    </w:r>
                                  </w:p>
                                </w:txbxContent>
                              </wps:txbx>
                              <wps:bodyPr vert="horz" wrap="square" lIns="91440" tIns="45720" rIns="91440" bIns="45720" anchor="ctr" anchorCtr="0" compatLnSpc="1"/>
                            </wps:wsp>
                            <wps:wsp>
                              <wps:cNvPr id="65" name="Rectangle 317"/>
                              <wps:cNvSpPr/>
                              <wps:spPr>
                                <a:xfrm>
                                  <a:off x="447873" y="72672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H</w:t>
                                    </w:r>
                                  </w:p>
                                </w:txbxContent>
                              </wps:txbx>
                              <wps:bodyPr vert="horz" wrap="square" lIns="91440" tIns="45720" rIns="91440" bIns="45720" anchor="ctr" anchorCtr="0" compatLnSpc="1"/>
                            </wps:wsp>
                            <wps:wsp>
                              <wps:cNvPr id="66" name="Rectangle 318"/>
                              <wps:cNvSpPr/>
                              <wps:spPr>
                                <a:xfrm>
                                  <a:off x="447873" y="1091081"/>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M</w:t>
                                    </w:r>
                                  </w:p>
                                </w:txbxContent>
                              </wps:txbx>
                              <wps:bodyPr vert="horz" wrap="square" lIns="91440" tIns="45720" rIns="91440" bIns="45720" anchor="ctr" anchorCtr="0" compatLnSpc="1"/>
                            </wps:wsp>
                            <wps:wsp>
                              <wps:cNvPr id="67" name="Rectangle 319"/>
                              <wps:cNvSpPr/>
                              <wps:spPr>
                                <a:xfrm>
                                  <a:off x="447873" y="144940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L</w:t>
                                    </w:r>
                                  </w:p>
                                </w:txbxContent>
                              </wps:txbx>
                              <wps:bodyPr vert="horz" wrap="square" lIns="91440" tIns="45720" rIns="91440" bIns="45720" anchor="ctr" anchorCtr="0" compatLnSpc="1"/>
                            </wps:wsp>
                            <wps:wsp>
                              <wps:cNvPr id="68" name="Rectangle 65"/>
                              <wps:cNvSpPr/>
                              <wps:spPr>
                                <a:xfrm>
                                  <a:off x="447873" y="1807175"/>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N</w:t>
                                    </w:r>
                                  </w:p>
                                </w:txbxContent>
                              </wps:txbx>
                              <wps:bodyPr vert="horz" wrap="square" lIns="91440" tIns="45720" rIns="91440" bIns="45720" anchor="ctr" anchorCtr="0" compatLnSpc="1"/>
                            </wps:wsp>
                            <wps:wsp>
                              <wps:cNvPr id="69" name="Rectangle 94"/>
                              <wps:cNvSpPr/>
                              <wps:spPr>
                                <a:xfrm>
                                  <a:off x="895756" y="1091081"/>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M</w:t>
                                    </w:r>
                                  </w:p>
                                </w:txbxContent>
                              </wps:txbx>
                              <wps:bodyPr vert="horz" wrap="square" lIns="91440" tIns="45720" rIns="91440" bIns="45720" anchor="ctr" anchorCtr="0" compatLnSpc="1"/>
                            </wps:wsp>
                            <wps:wsp>
                              <wps:cNvPr id="70" name="Rectangle 320"/>
                              <wps:cNvSpPr/>
                              <wps:spPr>
                                <a:xfrm>
                                  <a:off x="895756" y="144940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L</w:t>
                                    </w:r>
                                  </w:p>
                                </w:txbxContent>
                              </wps:txbx>
                              <wps:bodyPr vert="horz" wrap="square" lIns="91440" tIns="45720" rIns="91440" bIns="45720" anchor="ctr" anchorCtr="0" compatLnSpc="1"/>
                            </wps:wsp>
                            <wps:wsp>
                              <wps:cNvPr id="71" name="Rectangle 321"/>
                              <wps:cNvSpPr/>
                              <wps:spPr>
                                <a:xfrm>
                                  <a:off x="895756" y="1807175"/>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N</w:t>
                                    </w:r>
                                  </w:p>
                                </w:txbxContent>
                              </wps:txbx>
                              <wps:bodyPr vert="horz" wrap="square" lIns="91440" tIns="45720" rIns="91440" bIns="45720" anchor="ctr" anchorCtr="0" compatLnSpc="1"/>
                            </wps:wsp>
                            <wps:wsp>
                              <wps:cNvPr id="72" name="Rectangle 322"/>
                              <wps:cNvSpPr/>
                              <wps:spPr>
                                <a:xfrm>
                                  <a:off x="1337100" y="726729"/>
                                  <a:ext cx="450168" cy="364543"/>
                                </a:xfrm>
                                <a:prstGeom prst="rect">
                                  <a:avLst/>
                                </a:prstGeom>
                                <a:solidFill>
                                  <a:srgbClr val="FFFFFF"/>
                                </a:solidFill>
                                <a:ln w="12701">
                                  <a:solidFill>
                                    <a:srgbClr val="000000"/>
                                  </a:solidFill>
                                  <a:prstDash val="solid"/>
                                </a:ln>
                              </wps:spPr>
                              <wps:txbx>
                                <w:txbxContent>
                                  <w:p w:rsidR="00BF01D8" w:rsidRDefault="00CB4F73">
                                    <w:pPr>
                                      <w:jc w:val="center"/>
                                    </w:pPr>
                                    <w:r>
                                      <w:t>H</w:t>
                                    </w:r>
                                  </w:p>
                                </w:txbxContent>
                              </wps:txbx>
                              <wps:bodyPr vert="horz" wrap="square" lIns="91440" tIns="45720" rIns="91440" bIns="45720" anchor="ctr" anchorCtr="0" compatLnSpc="1"/>
                            </wps:wsp>
                            <wps:wsp>
                              <wps:cNvPr id="73" name="Rectangle 323"/>
                              <wps:cNvSpPr/>
                              <wps:spPr>
                                <a:xfrm>
                                  <a:off x="1334238" y="1091081"/>
                                  <a:ext cx="445395" cy="355948"/>
                                </a:xfrm>
                                <a:prstGeom prst="rect">
                                  <a:avLst/>
                                </a:prstGeom>
                                <a:solidFill>
                                  <a:srgbClr val="FFFFFF"/>
                                </a:solidFill>
                                <a:ln w="12701">
                                  <a:solidFill>
                                    <a:srgbClr val="000000"/>
                                  </a:solidFill>
                                  <a:prstDash val="solid"/>
                                </a:ln>
                              </wps:spPr>
                              <wps:txbx>
                                <w:txbxContent>
                                  <w:p w:rsidR="00BF01D8" w:rsidRDefault="00CB4F73">
                                    <w:pPr>
                                      <w:jc w:val="center"/>
                                    </w:pPr>
                                    <w:r>
                                      <w:t>M</w:t>
                                    </w:r>
                                  </w:p>
                                </w:txbxContent>
                              </wps:txbx>
                              <wps:bodyPr vert="horz" wrap="square" lIns="91440" tIns="45720" rIns="91440" bIns="45720" anchor="ctr" anchorCtr="0" compatLnSpc="1"/>
                            </wps:wsp>
                            <wps:wsp>
                              <wps:cNvPr id="74" name="Rectangle 324"/>
                              <wps:cNvSpPr/>
                              <wps:spPr>
                                <a:xfrm>
                                  <a:off x="1341626" y="1807175"/>
                                  <a:ext cx="445413" cy="364562"/>
                                </a:xfrm>
                                <a:prstGeom prst="rect">
                                  <a:avLst/>
                                </a:prstGeom>
                                <a:solidFill>
                                  <a:srgbClr val="FFFFFF"/>
                                </a:solidFill>
                                <a:ln w="12701">
                                  <a:solidFill>
                                    <a:srgbClr val="000000"/>
                                  </a:solidFill>
                                  <a:prstDash val="solid"/>
                                </a:ln>
                              </wps:spPr>
                              <wps:txbx>
                                <w:txbxContent>
                                  <w:p w:rsidR="00BF01D8" w:rsidRDefault="00CB4F73">
                                    <w:pPr>
                                      <w:jc w:val="center"/>
                                    </w:pPr>
                                    <w:r>
                                      <w:t>N</w:t>
                                    </w:r>
                                  </w:p>
                                </w:txbxContent>
                              </wps:txbx>
                              <wps:bodyPr vert="horz" wrap="square" lIns="91440" tIns="45720" rIns="91440" bIns="45720" anchor="ctr" anchorCtr="0" compatLnSpc="1"/>
                            </wps:wsp>
                            <wps:wsp>
                              <wps:cNvPr id="75" name="Rectangle 325"/>
                              <wps:cNvSpPr/>
                              <wps:spPr>
                                <a:xfrm>
                                  <a:off x="1775792" y="72672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H</w:t>
                                    </w:r>
                                  </w:p>
                                </w:txbxContent>
                              </wps:txbx>
                              <wps:bodyPr vert="horz" wrap="square" lIns="91440" tIns="45720" rIns="91440" bIns="45720" anchor="ctr" anchorCtr="0" compatLnSpc="1"/>
                            </wps:wsp>
                            <wps:wsp>
                              <wps:cNvPr id="76" name="Rectangle 326"/>
                              <wps:cNvSpPr/>
                              <wps:spPr>
                                <a:xfrm>
                                  <a:off x="1775792" y="1091081"/>
                                  <a:ext cx="445395" cy="370981"/>
                                </a:xfrm>
                                <a:prstGeom prst="rect">
                                  <a:avLst/>
                                </a:prstGeom>
                                <a:solidFill>
                                  <a:srgbClr val="FFFFFF"/>
                                </a:solidFill>
                                <a:ln w="12701">
                                  <a:solidFill>
                                    <a:srgbClr val="000000"/>
                                  </a:solidFill>
                                  <a:prstDash val="solid"/>
                                </a:ln>
                              </wps:spPr>
                              <wps:txbx>
                                <w:txbxContent>
                                  <w:p w:rsidR="00BF01D8" w:rsidRDefault="00CB4F73">
                                    <w:pPr>
                                      <w:jc w:val="center"/>
                                    </w:pPr>
                                    <w:r>
                                      <w:t>M</w:t>
                                    </w:r>
                                  </w:p>
                                </w:txbxContent>
                              </wps:txbx>
                              <wps:bodyPr vert="horz" wrap="square" lIns="91440" tIns="45720" rIns="91440" bIns="45720" anchor="ctr" anchorCtr="0" compatLnSpc="1"/>
                            </wps:wsp>
                            <wps:wsp>
                              <wps:cNvPr id="77" name="Rectangle 327"/>
                              <wps:cNvSpPr/>
                              <wps:spPr>
                                <a:xfrm>
                                  <a:off x="1775792" y="144702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L</w:t>
                                    </w:r>
                                  </w:p>
                                </w:txbxContent>
                              </wps:txbx>
                              <wps:bodyPr vert="horz" wrap="square" lIns="91440" tIns="45720" rIns="91440" bIns="45720" anchor="ctr" anchorCtr="0" compatLnSpc="1"/>
                            </wps:wsp>
                            <wps:wsp>
                              <wps:cNvPr id="78" name="Rectangle 328"/>
                              <wps:cNvSpPr/>
                              <wps:spPr>
                                <a:xfrm>
                                  <a:off x="1775792" y="1807175"/>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N</w:t>
                                    </w:r>
                                  </w:p>
                                </w:txbxContent>
                              </wps:txbx>
                              <wps:bodyPr vert="horz" wrap="square" lIns="91440" tIns="45720" rIns="91440" bIns="45720" anchor="ctr" anchorCtr="0" compatLnSpc="1"/>
                            </wps:wsp>
                            <wps:wsp>
                              <wps:cNvPr id="79" name="Rectangle 329"/>
                              <wps:cNvSpPr/>
                              <wps:spPr>
                                <a:xfrm>
                                  <a:off x="2223666" y="1095131"/>
                                  <a:ext cx="450168" cy="364543"/>
                                </a:xfrm>
                                <a:prstGeom prst="rect">
                                  <a:avLst/>
                                </a:prstGeom>
                                <a:solidFill>
                                  <a:srgbClr val="FFFFFF"/>
                                </a:solidFill>
                                <a:ln w="12701">
                                  <a:solidFill>
                                    <a:srgbClr val="000000"/>
                                  </a:solidFill>
                                  <a:prstDash val="solid"/>
                                </a:ln>
                              </wps:spPr>
                              <wps:txbx>
                                <w:txbxContent>
                                  <w:p w:rsidR="00BF01D8" w:rsidRDefault="00CB4F73">
                                    <w:pPr>
                                      <w:jc w:val="center"/>
                                    </w:pPr>
                                    <w:r>
                                      <w:t>M</w:t>
                                    </w:r>
                                  </w:p>
                                </w:txbxContent>
                              </wps:txbx>
                              <wps:bodyPr vert="horz" wrap="square" lIns="91440" tIns="45720" rIns="91440" bIns="45720" anchor="ctr" anchorCtr="0" compatLnSpc="1"/>
                            </wps:wsp>
                            <wps:wsp>
                              <wps:cNvPr id="80" name="Rectangle 330"/>
                              <wps:cNvSpPr/>
                              <wps:spPr>
                                <a:xfrm>
                                  <a:off x="2223666" y="144702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L</w:t>
                                    </w:r>
                                  </w:p>
                                </w:txbxContent>
                              </wps:txbx>
                              <wps:bodyPr vert="horz" wrap="square" lIns="91440" tIns="45720" rIns="91440" bIns="45720" anchor="ctr" anchorCtr="0" compatLnSpc="1"/>
                            </wps:wsp>
                            <wps:wsp>
                              <wps:cNvPr id="81" name="Rectangle 331"/>
                              <wps:cNvSpPr/>
                              <wps:spPr>
                                <a:xfrm>
                                  <a:off x="2223666" y="1807175"/>
                                  <a:ext cx="445413" cy="364562"/>
                                </a:xfrm>
                                <a:prstGeom prst="rect">
                                  <a:avLst/>
                                </a:prstGeom>
                                <a:solidFill>
                                  <a:srgbClr val="FFFFFF"/>
                                </a:solidFill>
                                <a:ln w="12701">
                                  <a:solidFill>
                                    <a:srgbClr val="000000"/>
                                  </a:solidFill>
                                  <a:prstDash val="solid"/>
                                </a:ln>
                              </wps:spPr>
                              <wps:txbx>
                                <w:txbxContent>
                                  <w:p w:rsidR="00BF01D8" w:rsidRDefault="00CB4F73">
                                    <w:pPr>
                                      <w:jc w:val="center"/>
                                    </w:pPr>
                                    <w:r>
                                      <w:t>N</w:t>
                                    </w:r>
                                  </w:p>
                                </w:txbxContent>
                              </wps:txbx>
                              <wps:bodyPr vert="horz" wrap="square" lIns="91440" tIns="45720" rIns="91440" bIns="45720" anchor="ctr" anchorCtr="0" compatLnSpc="1"/>
                            </wps:wsp>
                            <wps:wsp>
                              <wps:cNvPr id="82" name="Rectangle 332"/>
                              <wps:cNvSpPr/>
                              <wps:spPr>
                                <a:xfrm>
                                  <a:off x="2671548" y="1095131"/>
                                  <a:ext cx="439936" cy="356177"/>
                                </a:xfrm>
                                <a:prstGeom prst="rect">
                                  <a:avLst/>
                                </a:prstGeom>
                                <a:solidFill>
                                  <a:srgbClr val="FFFFFF"/>
                                </a:solidFill>
                                <a:ln w="12701">
                                  <a:solidFill>
                                    <a:srgbClr val="000000"/>
                                  </a:solidFill>
                                  <a:prstDash val="solid"/>
                                </a:ln>
                              </wps:spPr>
                              <wps:txbx>
                                <w:txbxContent>
                                  <w:p w:rsidR="00BF01D8" w:rsidRDefault="00CB4F73">
                                    <w:pPr>
                                      <w:jc w:val="center"/>
                                    </w:pPr>
                                    <w:r>
                                      <w:t>M</w:t>
                                    </w:r>
                                  </w:p>
                                </w:txbxContent>
                              </wps:txbx>
                              <wps:bodyPr vert="horz" wrap="square" lIns="91440" tIns="45720" rIns="91440" bIns="45720" anchor="ctr" anchorCtr="0" compatLnSpc="1"/>
                            </wps:wsp>
                            <wps:wsp>
                              <wps:cNvPr id="83" name="Rectangle 333"/>
                              <wps:cNvSpPr/>
                              <wps:spPr>
                                <a:xfrm>
                                  <a:off x="2671548" y="144940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L</w:t>
                                    </w:r>
                                  </w:p>
                                </w:txbxContent>
                              </wps:txbx>
                              <wps:bodyPr vert="horz" wrap="square" lIns="91440" tIns="45720" rIns="91440" bIns="45720" anchor="ctr" anchorCtr="0" compatLnSpc="1"/>
                            </wps:wsp>
                            <wps:wsp>
                              <wps:cNvPr id="84" name="Rectangle 334"/>
                              <wps:cNvSpPr/>
                              <wps:spPr>
                                <a:xfrm>
                                  <a:off x="2671548" y="1807175"/>
                                  <a:ext cx="445413" cy="364562"/>
                                </a:xfrm>
                                <a:prstGeom prst="rect">
                                  <a:avLst/>
                                </a:prstGeom>
                                <a:solidFill>
                                  <a:srgbClr val="FFFFFF"/>
                                </a:solidFill>
                                <a:ln w="12701">
                                  <a:solidFill>
                                    <a:srgbClr val="000000"/>
                                  </a:solidFill>
                                  <a:prstDash val="solid"/>
                                </a:ln>
                              </wps:spPr>
                              <wps:txbx>
                                <w:txbxContent>
                                  <w:p w:rsidR="00BF01D8" w:rsidRDefault="00CB4F73">
                                    <w:pPr>
                                      <w:jc w:val="center"/>
                                    </w:pPr>
                                    <w:r>
                                      <w:t>N</w:t>
                                    </w:r>
                                  </w:p>
                                </w:txbxContent>
                              </wps:txbx>
                              <wps:bodyPr vert="horz" wrap="square" lIns="91440" tIns="45720" rIns="91440" bIns="45720" anchor="ctr" anchorCtr="0" compatLnSpc="1"/>
                            </wps:wsp>
                            <wps:wsp>
                              <wps:cNvPr id="85" name="Rectangle 335"/>
                              <wps:cNvSpPr/>
                              <wps:spPr>
                                <a:xfrm>
                                  <a:off x="3111566" y="72672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H</w:t>
                                    </w:r>
                                  </w:p>
                                </w:txbxContent>
                              </wps:txbx>
                              <wps:bodyPr vert="horz" wrap="square" lIns="91440" tIns="45720" rIns="91440" bIns="45720" anchor="ctr" anchorCtr="0" compatLnSpc="1"/>
                            </wps:wsp>
                            <wps:wsp>
                              <wps:cNvPr id="86" name="Rectangle 336"/>
                              <wps:cNvSpPr/>
                              <wps:spPr>
                                <a:xfrm>
                                  <a:off x="3111566" y="109750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M</w:t>
                                    </w:r>
                                  </w:p>
                                </w:txbxContent>
                              </wps:txbx>
                              <wps:bodyPr vert="horz" wrap="square" lIns="91440" tIns="45720" rIns="91440" bIns="45720" anchor="ctr" anchorCtr="0" compatLnSpc="1"/>
                            </wps:wsp>
                            <wps:wsp>
                              <wps:cNvPr id="87" name="Rectangle 337"/>
                              <wps:cNvSpPr/>
                              <wps:spPr>
                                <a:xfrm>
                                  <a:off x="3111566" y="144940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L</w:t>
                                    </w:r>
                                  </w:p>
                                </w:txbxContent>
                              </wps:txbx>
                              <wps:bodyPr vert="horz" wrap="square" lIns="91440" tIns="45720" rIns="91440" bIns="45720" anchor="ctr" anchorCtr="0" compatLnSpc="1"/>
                            </wps:wsp>
                            <wps:wsp>
                              <wps:cNvPr id="88" name="Rectangle 338"/>
                              <wps:cNvSpPr/>
                              <wps:spPr>
                                <a:xfrm>
                                  <a:off x="3111566" y="1807175"/>
                                  <a:ext cx="445413" cy="364562"/>
                                </a:xfrm>
                                <a:prstGeom prst="rect">
                                  <a:avLst/>
                                </a:prstGeom>
                                <a:solidFill>
                                  <a:srgbClr val="FFFFFF"/>
                                </a:solidFill>
                                <a:ln w="12701">
                                  <a:solidFill>
                                    <a:srgbClr val="000000"/>
                                  </a:solidFill>
                                  <a:prstDash val="solid"/>
                                </a:ln>
                              </wps:spPr>
                              <wps:txbx>
                                <w:txbxContent>
                                  <w:p w:rsidR="00BF01D8" w:rsidRDefault="00CB4F73">
                                    <w:pPr>
                                      <w:jc w:val="center"/>
                                    </w:pPr>
                                    <w:r>
                                      <w:t>N</w:t>
                                    </w:r>
                                  </w:p>
                                </w:txbxContent>
                              </wps:txbx>
                              <wps:bodyPr vert="horz" wrap="square" lIns="91440" tIns="45720" rIns="91440" bIns="45720" anchor="ctr" anchorCtr="0" compatLnSpc="1"/>
                            </wps:wsp>
                            <wps:wsp>
                              <wps:cNvPr id="89" name="Rectangle 339"/>
                              <wps:cNvSpPr/>
                              <wps:spPr>
                                <a:xfrm>
                                  <a:off x="3559439" y="72672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H</w:t>
                                    </w:r>
                                  </w:p>
                                </w:txbxContent>
                              </wps:txbx>
                              <wps:bodyPr vert="horz" wrap="square" lIns="91440" tIns="45720" rIns="91440" bIns="45720" anchor="ctr" anchorCtr="0" compatLnSpc="1"/>
                            </wps:wsp>
                            <wps:wsp>
                              <wps:cNvPr id="90" name="Rectangle 340"/>
                              <wps:cNvSpPr/>
                              <wps:spPr>
                                <a:xfrm>
                                  <a:off x="3559439" y="109750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M</w:t>
                                    </w:r>
                                  </w:p>
                                </w:txbxContent>
                              </wps:txbx>
                              <wps:bodyPr vert="horz" wrap="square" lIns="91440" tIns="45720" rIns="91440" bIns="45720" anchor="ctr" anchorCtr="0" compatLnSpc="1"/>
                            </wps:wsp>
                            <wps:wsp>
                              <wps:cNvPr id="91" name="Rectangle 341"/>
                              <wps:cNvSpPr/>
                              <wps:spPr>
                                <a:xfrm>
                                  <a:off x="3559439" y="144940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L</w:t>
                                    </w:r>
                                  </w:p>
                                </w:txbxContent>
                              </wps:txbx>
                              <wps:bodyPr vert="horz" wrap="square" lIns="91440" tIns="45720" rIns="91440" bIns="45720" anchor="ctr" anchorCtr="0" compatLnSpc="1"/>
                            </wps:wsp>
                            <wps:wsp>
                              <wps:cNvPr id="92" name="Rectangle 342"/>
                              <wps:cNvSpPr/>
                              <wps:spPr>
                                <a:xfrm>
                                  <a:off x="3559439" y="1807175"/>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N</w:t>
                                    </w:r>
                                  </w:p>
                                </w:txbxContent>
                              </wps:txbx>
                              <wps:bodyPr vert="horz" wrap="square" lIns="91440" tIns="45720" rIns="91440" bIns="45720" anchor="ctr" anchorCtr="0" compatLnSpc="1"/>
                            </wps:wsp>
                            <wps:wsp>
                              <wps:cNvPr id="93" name="Rectangle 343"/>
                              <wps:cNvSpPr/>
                              <wps:spPr>
                                <a:xfrm>
                                  <a:off x="4007322" y="36014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S</w:t>
                                    </w:r>
                                  </w:p>
                                </w:txbxContent>
                              </wps:txbx>
                              <wps:bodyPr vert="horz" wrap="square" lIns="91440" tIns="45720" rIns="91440" bIns="45720" anchor="ctr" anchorCtr="0" compatLnSpc="1"/>
                            </wps:wsp>
                            <wps:wsp>
                              <wps:cNvPr id="94" name="Rectangle 344"/>
                              <wps:cNvSpPr/>
                              <wps:spPr>
                                <a:xfrm>
                                  <a:off x="4007322" y="72672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H</w:t>
                                    </w:r>
                                  </w:p>
                                </w:txbxContent>
                              </wps:txbx>
                              <wps:bodyPr vert="horz" wrap="square" lIns="91440" tIns="45720" rIns="91440" bIns="45720" anchor="ctr" anchorCtr="0" compatLnSpc="1"/>
                            </wps:wsp>
                            <wps:wsp>
                              <wps:cNvPr id="95" name="Rectangle 345"/>
                              <wps:cNvSpPr/>
                              <wps:spPr>
                                <a:xfrm>
                                  <a:off x="4007322" y="109750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M</w:t>
                                    </w:r>
                                  </w:p>
                                </w:txbxContent>
                              </wps:txbx>
                              <wps:bodyPr vert="horz" wrap="square" lIns="91440" tIns="45720" rIns="91440" bIns="45720" anchor="ctr" anchorCtr="0" compatLnSpc="1"/>
                            </wps:wsp>
                            <wps:wsp>
                              <wps:cNvPr id="96" name="Rectangle 346"/>
                              <wps:cNvSpPr/>
                              <wps:spPr>
                                <a:xfrm>
                                  <a:off x="4007322" y="144940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L</w:t>
                                    </w:r>
                                  </w:p>
                                </w:txbxContent>
                              </wps:txbx>
                              <wps:bodyPr vert="horz" wrap="square" lIns="91440" tIns="45720" rIns="91440" bIns="45720" anchor="ctr" anchorCtr="0" compatLnSpc="1"/>
                            </wps:wsp>
                            <wps:wsp>
                              <wps:cNvPr id="97" name="Rectangle 347"/>
                              <wps:cNvSpPr/>
                              <wps:spPr>
                                <a:xfrm>
                                  <a:off x="4007322" y="1807175"/>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N</w:t>
                                    </w:r>
                                  </w:p>
                                </w:txbxContent>
                              </wps:txbx>
                              <wps:bodyPr vert="horz" wrap="square" lIns="91440" tIns="45720" rIns="91440" bIns="45720" anchor="ctr" anchorCtr="0" compatLnSpc="1"/>
                            </wps:wsp>
                            <wps:wsp>
                              <wps:cNvPr id="98" name="Rectangle 348"/>
                              <wps:cNvSpPr/>
                              <wps:spPr>
                                <a:xfrm>
                                  <a:off x="4455195" y="360146"/>
                                  <a:ext cx="445395" cy="364543"/>
                                </a:xfrm>
                                <a:prstGeom prst="rect">
                                  <a:avLst/>
                                </a:prstGeom>
                                <a:solidFill>
                                  <a:srgbClr val="FFFFFF"/>
                                </a:solidFill>
                                <a:ln w="12701">
                                  <a:solidFill>
                                    <a:srgbClr val="000000"/>
                                  </a:solidFill>
                                  <a:prstDash val="solid"/>
                                </a:ln>
                              </wps:spPr>
                              <wps:bodyPr lIns="0" tIns="0" rIns="0" bIns="0"/>
                            </wps:wsp>
                            <wps:wsp>
                              <wps:cNvPr id="99" name="Rectangle 349"/>
                              <wps:cNvSpPr/>
                              <wps:spPr>
                                <a:xfrm>
                                  <a:off x="4455195" y="72672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H</w:t>
                                    </w:r>
                                  </w:p>
                                </w:txbxContent>
                              </wps:txbx>
                              <wps:bodyPr vert="horz" wrap="square" lIns="91440" tIns="45720" rIns="91440" bIns="45720" anchor="ctr" anchorCtr="0" compatLnSpc="1"/>
                            </wps:wsp>
                            <wps:wsp>
                              <wps:cNvPr id="100" name="Rectangle 350"/>
                              <wps:cNvSpPr/>
                              <wps:spPr>
                                <a:xfrm>
                                  <a:off x="4455195" y="109750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M</w:t>
                                    </w:r>
                                  </w:p>
                                </w:txbxContent>
                              </wps:txbx>
                              <wps:bodyPr vert="horz" wrap="square" lIns="91440" tIns="45720" rIns="91440" bIns="45720" anchor="ctr" anchorCtr="0" compatLnSpc="1"/>
                            </wps:wsp>
                            <wps:wsp>
                              <wps:cNvPr id="101" name="Rectangle 351"/>
                              <wps:cNvSpPr/>
                              <wps:spPr>
                                <a:xfrm>
                                  <a:off x="4455195" y="144940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L</w:t>
                                    </w:r>
                                  </w:p>
                                </w:txbxContent>
                              </wps:txbx>
                              <wps:bodyPr vert="horz" wrap="square" lIns="91440" tIns="45720" rIns="91440" bIns="45720" anchor="ctr" anchorCtr="0" compatLnSpc="1"/>
                            </wps:wsp>
                            <wps:wsp>
                              <wps:cNvPr id="102" name="Rectangle 352"/>
                              <wps:cNvSpPr/>
                              <wps:spPr>
                                <a:xfrm>
                                  <a:off x="4455195" y="1807175"/>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N</w:t>
                                    </w:r>
                                  </w:p>
                                </w:txbxContent>
                              </wps:txbx>
                              <wps:bodyPr vert="horz" wrap="square" lIns="91440" tIns="45720" rIns="91440" bIns="45720" anchor="ctr" anchorCtr="0" compatLnSpc="1"/>
                            </wps:wsp>
                            <wps:wsp>
                              <wps:cNvPr id="103" name="Rectangle 353"/>
                              <wps:cNvSpPr/>
                              <wps:spPr>
                                <a:xfrm>
                                  <a:off x="4903068" y="72672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H</w:t>
                                    </w:r>
                                  </w:p>
                                </w:txbxContent>
                              </wps:txbx>
                              <wps:bodyPr vert="horz" wrap="square" lIns="91440" tIns="45720" rIns="91440" bIns="45720" anchor="ctr" anchorCtr="0" compatLnSpc="1"/>
                            </wps:wsp>
                            <wps:wsp>
                              <wps:cNvPr id="104" name="Rectangle 354"/>
                              <wps:cNvSpPr/>
                              <wps:spPr>
                                <a:xfrm>
                                  <a:off x="4903068" y="1097509"/>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M</w:t>
                                    </w:r>
                                  </w:p>
                                </w:txbxContent>
                              </wps:txbx>
                              <wps:bodyPr vert="horz" wrap="square" lIns="91440" tIns="45720" rIns="91440" bIns="45720" anchor="ctr" anchorCtr="0" compatLnSpc="1"/>
                            </wps:wsp>
                            <wps:wsp>
                              <wps:cNvPr id="105" name="Rectangle 355"/>
                              <wps:cNvSpPr/>
                              <wps:spPr>
                                <a:xfrm>
                                  <a:off x="4903068" y="1449406"/>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L</w:t>
                                    </w:r>
                                  </w:p>
                                </w:txbxContent>
                              </wps:txbx>
                              <wps:bodyPr vert="horz" wrap="square" lIns="91440" tIns="45720" rIns="91440" bIns="45720" anchor="ctr" anchorCtr="0" compatLnSpc="1"/>
                            </wps:wsp>
                            <wps:wsp>
                              <wps:cNvPr id="106" name="Rectangle 356"/>
                              <wps:cNvSpPr/>
                              <wps:spPr>
                                <a:xfrm>
                                  <a:off x="4903068" y="1807175"/>
                                  <a:ext cx="445395" cy="364543"/>
                                </a:xfrm>
                                <a:prstGeom prst="rect">
                                  <a:avLst/>
                                </a:prstGeom>
                                <a:solidFill>
                                  <a:srgbClr val="FFFFFF"/>
                                </a:solidFill>
                                <a:ln w="12701">
                                  <a:solidFill>
                                    <a:srgbClr val="000000"/>
                                  </a:solidFill>
                                  <a:prstDash val="solid"/>
                                </a:ln>
                              </wps:spPr>
                              <wps:txbx>
                                <w:txbxContent>
                                  <w:p w:rsidR="00BF01D8" w:rsidRDefault="00CB4F73">
                                    <w:pPr>
                                      <w:jc w:val="center"/>
                                    </w:pPr>
                                    <w:r>
                                      <w:t>N</w:t>
                                    </w:r>
                                  </w:p>
                                </w:txbxContent>
                              </wps:txbx>
                              <wps:bodyPr vert="horz" wrap="square" lIns="91440" tIns="45720" rIns="91440" bIns="45720" anchor="ctr" anchorCtr="0" compatLnSpc="1"/>
                            </wps:wsp>
                          </wpg:grpSp>
                        </wpg:grpSp>
                      </wpg:grpSp>
                      <wps:wsp>
                        <wps:cNvPr id="107" name="Rectangle 358"/>
                        <wps:cNvSpPr/>
                        <wps:spPr>
                          <a:xfrm>
                            <a:off x="0" y="0"/>
                            <a:ext cx="6675120" cy="4955526"/>
                          </a:xfrm>
                          <a:prstGeom prst="rect">
                            <a:avLst/>
                          </a:prstGeom>
                          <a:noFill/>
                          <a:ln w="25402">
                            <a:solidFill>
                              <a:srgbClr val="000000"/>
                            </a:solidFill>
                            <a:prstDash val="solid"/>
                          </a:ln>
                        </wps:spPr>
                        <wps:bodyPr lIns="0" tIns="0" rIns="0" bIns="0"/>
                      </wps:wsp>
                    </wpg:wgp>
                  </a:graphicData>
                </a:graphic>
              </wp:anchor>
            </w:drawing>
          </mc:Choice>
          <mc:Fallback>
            <w:pict>
              <v:group id="Group 359" o:spid="_x0000_s1027" alt="Title: Figure 1: How the different care domains are divided into levls of need - Description: Representation of the twelve care domains alongside all possible levels of need, within the Decision Support tool" style="position:absolute;margin-left:-3.5pt;margin-top:2.6pt;width:525.6pt;height:391.8pt;z-index:251660288" coordsize="66751,4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">
                <v:group id="Group 357" o:spid="_x0000_s1028" style="position:absolute;left:423;top:3112;width:65601;height:46646" coordsize="65601,46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_x0000_s1029" type="#_x0000_t202" style="position:absolute;left:26389;top:32067;width:7485;height:3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BF01D8" w:rsidRDefault="00CB4F73">
                          <w:pPr>
                            <w:jc w:val="center"/>
                            <w:rPr>
                              <w:b/>
                              <w:sz w:val="16"/>
                              <w:szCs w:val="16"/>
                            </w:rPr>
                          </w:pPr>
                          <w:r>
                            <w:rPr>
                              <w:b/>
                              <w:sz w:val="16"/>
                              <w:szCs w:val="16"/>
                            </w:rPr>
                            <w:t>Mobility</w:t>
                          </w:r>
                        </w:p>
                      </w:txbxContent>
                    </v:textbox>
                  </v:shape>
                  <v:shape id="_x0000_s1030" type="#_x0000_t202" style="position:absolute;left:39726;top:35811;width:7693;height:3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BF01D8" w:rsidRDefault="00CB4F73">
                          <w:pPr>
                            <w:jc w:val="center"/>
                            <w:rPr>
                              <w:b/>
                              <w:sz w:val="16"/>
                              <w:szCs w:val="16"/>
                            </w:rPr>
                          </w:pPr>
                          <w:r>
                            <w:rPr>
                              <w:b/>
                              <w:sz w:val="16"/>
                              <w:szCs w:val="16"/>
                            </w:rPr>
                            <w:t>Cognition</w:t>
                          </w:r>
                        </w:p>
                      </w:txbxContent>
                    </v:textbox>
                  </v:shape>
                  <v:shape id="_x0000_s1031" type="#_x0000_t202" style="position:absolute;left:57295;top:26189;width:8306;height:6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BF01D8" w:rsidRDefault="00CB4F73">
                          <w:pPr>
                            <w:spacing w:after="0" w:line="240" w:lineRule="auto"/>
                            <w:jc w:val="center"/>
                            <w:rPr>
                              <w:b/>
                              <w:sz w:val="16"/>
                              <w:szCs w:val="16"/>
                            </w:rPr>
                          </w:pPr>
                          <w:r>
                            <w:rPr>
                              <w:b/>
                              <w:sz w:val="16"/>
                              <w:szCs w:val="16"/>
                            </w:rPr>
                            <w:t>Other Significant care needs</w:t>
                          </w:r>
                        </w:p>
                      </w:txbxContent>
                    </v:textbox>
                  </v:shape>
                  <v:shapetype id="_x0000_t32" coordsize="21600,21600" o:spt="32" o:oned="t" path="m,l21600,21600e" filled="f">
                    <v:path arrowok="t" fillok="f" o:connecttype="none"/>
                    <o:lock v:ext="edit" shapetype="t"/>
                  </v:shapetype>
                  <v:shape id="Straight Arrow Connector 64" o:spid="_x0000_s1032" type="#_x0000_t32" style="position:absolute;left:12630;top:22602;width:0;height:98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jBu70AAADbAAAADwAAAGRycy9kb3ducmV2LnhtbERPzQ7BQBC+S7zDZiRubDkgZYkQiQMR&#10;JXEd3dE2urNNd1FvbyUSt/ny/c5s0ZhSPKl2hWUFg34Egji1uuBMwfm06U1AOI+ssbRMCt7kYDFv&#10;t2YYa/viIz0Tn4kQwi5GBbn3VSylS3My6Pq2Ig7czdYGfYB1JnWNrxBuSjmMopE0WHBoyLGiVU7p&#10;PXkYBfv1WB4wuerrZTdZ28fwjhWflep2muUUhKfG/8U/91aH+WP4/hIOkPM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aYwbu9AAAA2wAAAA8AAAAAAAAAAAAAAAAAoQIA&#10;AGRycy9kb3ducmV2LnhtbFBLBQYAAAAABAAEAPkAAACLAwAAAAA=&#10;" strokeweight=".52906mm">
                    <v:stroke endarrow="open"/>
                  </v:shape>
                  <v:shape id="Straight Arrow Connector 66" o:spid="_x0000_s1033" type="#_x0000_t32" style="position:absolute;left:16864;top:22805;width:0;height:55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dVycIAAADbAAAADwAAAGRycy9kb3ducmV2LnhtbESPQYvCQAyF7wv+hyGCt3WqB5XqKKII&#10;e1hZrILX2IltsZMpnVHrv98cBG8J7+W9L4tV52r1oDZUng2Mhgko4tzbigsDp+PuewYqRGSLtWcy&#10;8KIAq2Xva4Gp9U8+0COLhZIQDikaKGNsUq1DXpLDMPQNsWhX3zqMsraFti0+JdzVepwkE+2wYmko&#10;saFNSfktuzsD++1U/2F2sZfz72zr7+MbNnwyZtDv1nNQkbr4Mb+vf6zgC6z8IgPo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wdVycIAAADbAAAADwAAAAAAAAAAAAAA&#10;AAChAgAAZHJzL2Rvd25yZXYueG1sUEsFBgAAAAAEAAQA+QAAAJADAAAAAA==&#10;" strokeweight=".52906mm">
                    <v:stroke endarrow="open"/>
                  </v:shape>
                  <v:shape id="Straight Arrow Connector 67" o:spid="_x0000_s1034" type="#_x0000_t32" style="position:absolute;left:21380;top:22670;width:0;height:11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vwUsAAAADbAAAADwAAAGRycy9kb3ducmV2LnhtbERPTYvCMBC9C/sfwizsTdP1sGptKrIi&#10;eFgRa8Hr2IxtsZmUJmr33xtB8DaP9znJojeNuFHnassKvkcRCOLC6ppLBflhPZyCcB5ZY2OZFPyT&#10;g0X6MUgw1vbOe7plvhQhhF2MCirv21hKV1Rk0I1sSxy4s+0M+gC7UuoO7yHcNHIcRT/SYM2hocKW&#10;fisqLtnVKNiuJnKH2Umfjn/Tlb2OL9hyrtTXZ7+cg/DU+7f45d7oMH8Gz1/CATJ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L8FLAAAAA2wAAAA8AAAAAAAAAAAAAAAAA&#10;oQIAAGRycy9kb3ducmV2LnhtbFBLBQYAAAAABAAEAPkAAACOAwAAAAA=&#10;" strokeweight=".52906mm">
                    <v:stroke endarrow="open"/>
                  </v:shape>
                  <v:shape id="Straight Arrow Connector 68" o:spid="_x0000_s1035" type="#_x0000_t32" style="position:absolute;left:26107;top:22670;width:0;height:5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2TcrwAAADbAAAADwAAAGRycy9kb3ducmV2LnhtbERPvQrCMBDeBd8hnOCmqR1UqlFEERwU&#10;sQquZ3O2xeZSmqj17c0gOH58//NlayrxosaVlhWMhhEI4szqknMFl/N2MAXhPLLGyjIp+JCD5aLb&#10;mWOi7ZtP9Ep9LkIIuwQVFN7XiZQuK8igG9qaOHB32xj0ATa51A2+Q7ipZBxFY2mw5NBQYE3rgrJH&#10;+jQKDpuJPGJ607frfrqxz/iBNV+U6vfa1QyEp9b/xT/3TiuIw/rwJfwAufg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x2TcrwAAADbAAAADwAAAAAAAAAAAAAAAAChAgAA&#10;ZHJzL2Rvd25yZXYueG1sUEsFBgAAAAAEAAQA+QAAAIoDAAAAAA==&#10;" strokeweight=".52906mm">
                    <v:stroke endarrow="open"/>
                  </v:shape>
                  <v:shape id="Straight Arrow Connector 69" o:spid="_x0000_s1036" type="#_x0000_t32" style="position:absolute;left:30341;top:22534;width:0;height:11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E26cMAAADbAAAADwAAAGRycy9kb3ducmV2LnhtbESPQWuDQBSE74H+h+UVcktWPTRiXUOI&#10;BHJoCbWBXl/cV5W4b8XdRPPvu4VCj8PMfMPk29n04k6j6ywriNcRCOLa6o4bBefPwyoF4Tyyxt4y&#10;KXiQg23xtMgx03biD7pXvhEBwi5DBa33Qyalq1sy6NZ2IA7etx0N+iDHRuoRpwA3vUyi6EUa7Dgs&#10;tDjQvqX6Wt2MgvdyI09YXfTl6y0t7S254sBnpZbP8+4VhKfZ/4f/2ketIInh90v4Ab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hRNunDAAAA2wAAAA8AAAAAAAAAAAAA&#10;AAAAoQIAAGRycy9kb3ducmV2LnhtbFBLBQYAAAAABAAEAPkAAACRAwAAAAA=&#10;" strokeweight=".52906mm">
                    <v:stroke endarrow="open"/>
                  </v:shape>
                  <v:shape id="Straight Arrow Connector 70" o:spid="_x0000_s1037" type="#_x0000_t32" style="position:absolute;left:34857;top:22737;width:0;height:137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OonsMAAADbAAAADwAAAGRycy9kb3ducmV2LnhtbESPQWuDQBSE74H+h+UVcotrPTTBuIbQ&#10;UOihJdQEcn26Lypx34q7UfPvu4VCj8PMfMNku9l0YqTBtZYVvEQxCOLK6pZrBefT+2oDwnlkjZ1l&#10;UvAgB7v8aZFhqu3E3zQWvhYBwi5FBY33fSqlqxoy6CLbEwfvageDPsihlnrAKcBNJ5M4fpUGWw4L&#10;Dfb01lB1K+5GwddhLY9YlLq8fG4O9p7csOezUsvneb8F4Wn2/+G/9odWkCTw+yX8A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DqJ7DAAAA2wAAAA8AAAAAAAAAAAAA&#10;AAAAoQIAAGRycy9kb3ducmV2LnhtbFBLBQYAAAAABAAEAPkAAACRAwAAAAA=&#10;" strokeweight=".52906mm">
                    <v:stroke endarrow="open"/>
                  </v:shape>
                  <v:shape id="Straight Arrow Connector 71" o:spid="_x0000_s1038" type="#_x0000_t32" style="position:absolute;left:61529;top:22805;width:0;height:395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8NBcIAAADbAAAADwAAAGRycy9kb3ducmV2LnhtbESPQYvCMBSE74L/ITzBm6ZW2JXaVEQR&#10;PLgs2xX2+myebbF5KU3U+u/NguBxmJlvmHTVm0bcqHO1ZQWzaQSCuLC65lLB8Xc3WYBwHlljY5kU&#10;PMjBKhsOUky0vfMP3XJfigBhl6CCyvs2kdIVFRl0U9sSB+9sO4M+yK6UusN7gJtGxlH0IQ3WHBYq&#10;bGlTUXHJr0bB1/ZTfmN+0qe/w2Jrr/EFWz4qNR716yUIT71/h1/tvVYQz+H/S/gBMn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88NBcIAAADbAAAADwAAAAAAAAAAAAAA&#10;AAChAgAAZHJzL2Rvd25yZXYueG1sUEsFBgAAAAAEAAQA+QAAAJADAAAAAA==&#10;" strokeweight=".52906mm">
                    <v:stroke endarrow="open"/>
                  </v:shape>
                  <v:shape id="Straight Arrow Connector 72" o:spid="_x0000_s1039" type="#_x0000_t32" style="position:absolute;left:57507;top:22805;width:0;height:107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VccIAAADbAAAADwAAAGRycy9kb3ducmV2LnhtbESPQYvCMBSE74L/ITzBm6YW2ZXaVEQR&#10;PLgs2xX2+myebbF5KU3U+u/NguBxmJlvmHTVm0bcqHO1ZQWzaQSCuLC65lLB8Xc3WYBwHlljY5kU&#10;PMjBKhsOUky0vfMP3XJfigBhl6CCyvs2kdIVFRl0U9sSB+9sO4M+yK6UusN7gJtGxlH0IQ3WHBYq&#10;bGlTUXHJr0bB1/ZTfmN+0qe/w2Jrr/EFWz4qNR716yUIT71/h1/tvVYQz+H/S/gBMn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VccIAAADbAAAADwAAAAAAAAAAAAAA&#10;AAChAgAAZHJzL2Rvd25yZXYueG1sUEsFBgAAAAAEAAQA+QAAAJADAAAAAA==&#10;" strokeweight=".52906mm">
                    <v:stroke endarrow="open"/>
                  </v:shape>
                  <v:shape id="Straight Arrow Connector 73" o:spid="_x0000_s1040" type="#_x0000_t32" style="position:absolute;left:53062;top:22670;width:0;height:5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ow6sIAAADbAAAADwAAAGRycy9kb3ducmV2LnhtbESPQYvCMBSE74L/ITzBm6YW3JXaVEQR&#10;PLgs2xX2+myebbF5KU3U+u/NguBxmJlvmHTVm0bcqHO1ZQWzaQSCuLC65lLB8Xc3WYBwHlljY5kU&#10;PMjBKhsOUky0vfMP3XJfigBhl6CCyvs2kdIVFRl0U9sSB+9sO4M+yK6UusN7gJtGxlH0IQ3WHBYq&#10;bGlTUXHJr0bB1/ZTfmN+0qe/w2Jrr/EFWz4qNR716yUIT71/h1/tvVYQz+H/S/gBMns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2ow6sIAAADbAAAADwAAAAAAAAAAAAAA&#10;AAChAgAAZHJzL2Rvd25yZXYueG1sUEsFBgAAAAAEAAQA+QAAAJADAAAAAA==&#10;" strokeweight=".52906mm">
                    <v:stroke endarrow="open"/>
                  </v:shape>
                  <v:shape id="Straight Arrow Connector 74" o:spid="_x0000_s1041" type="#_x0000_t32" style="position:absolute;left:48193;top:22399;width:0;height:111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iuncMAAADbAAAADwAAAGRycy9kb3ducmV2LnhtbESPQWvCQBSE7wX/w/IKvdVNc7CSuooY&#10;BA9KMQ30+sy+JsHs2yW70fTfu4LgcZiZb5jFajSduFDvW8sKPqYJCOLK6pZrBeXP9n0OwgdkjZ1l&#10;UvBPHlbLycsCM22vfKRLEWoRIewzVNCE4DIpfdWQQT+1jjh6f7Y3GKLsa6l7vEa46WSaJDNpsOW4&#10;0KCjTUPVuRiMgkP+Kb+xOOnT736e2yE9o+NSqbfXcf0FItAYnuFHe6cVpDO4f4k/QC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4rp3DAAAA2wAAAA8AAAAAAAAAAAAA&#10;AAAAoQIAAGRycy9kb3ducmV2LnhtbFBLBQYAAAAABAAEAPkAAACRAwAAAAA=&#10;" strokeweight=".52906mm">
                    <v:stroke endarrow="open"/>
                  </v:shape>
                  <v:shape id="Straight Arrow Connector 75" o:spid="_x0000_s1042" type="#_x0000_t32" style="position:absolute;left:43818;top:22399;width:0;height:142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QLBsMAAADbAAAADwAAAGRycy9kb3ducmV2LnhtbESPQWvCQBSE74L/YXmF3nTTHKqkrkEU&#10;wYMipkKvz+xrEpJ9G7JrEv+9Wyh4HGbmG2aVjqYRPXWusqzgYx6BIM6trrhQcP3ez5YgnEfW2Fgm&#10;BQ9ykK6nkxUm2g58oT7zhQgQdgkqKL1vEyldXpJBN7ctcfB+bWfQB9kVUnc4BLhpZBxFn9JgxWGh&#10;xJa2JeV1djcKTruFPGN207ef43Jn73GNLV+Ven8bN18gPI3+Ff5vH7SCeAF/X8IP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j0CwbDAAAA2wAAAA8AAAAAAAAAAAAA&#10;AAAAoQIAAGRycy9kb3ducmV2LnhtbFBLBQYAAAAABAAEAPkAAACRAwAAAAA=&#10;" strokeweight=".52906mm">
                    <v:stroke endarrow="open"/>
                  </v:shape>
                  <v:shape id="Straight Arrow Connector 76" o:spid="_x0000_s1043" type="#_x0000_t32" style="position:absolute;left:39161;top:22805;width:0;height:706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ufdLwAAADbAAAADwAAAGRycy9kb3ducmV2LnhtbERPvQrCMBDeBd8hnOCmqR1UqlFEERwU&#10;sQquZ3O2xeZSmqj17c0gOH58//NlayrxosaVlhWMhhEI4szqknMFl/N2MAXhPLLGyjIp+JCD5aLb&#10;mWOi7ZtP9Ep9LkIIuwQVFN7XiZQuK8igG9qaOHB32xj0ATa51A2+Q7ipZBxFY2mw5NBQYE3rgrJH&#10;+jQKDpuJPGJ607frfrqxz/iBNV+U6vfa1QyEp9b/xT/3TiuIw9jwJfwAufg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WufdLwAAADbAAAADwAAAAAAAAAAAAAAAAChAgAA&#10;ZHJzL2Rvd25yZXYueG1sUEsFBgAAAAAEAAQA+QAAAIoDAAAAAA==&#10;" strokeweight=".52906mm">
                    <v:stroke endarrow="open"/>
                  </v:shape>
                  <v:shape id="_x0000_s1044" type="#_x0000_t202" style="position:absolute;left:8254;top:31008;width:7485;height:5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BF01D8" w:rsidRDefault="00CB4F73">
                          <w:pPr>
                            <w:jc w:val="center"/>
                            <w:rPr>
                              <w:b/>
                              <w:sz w:val="16"/>
                              <w:szCs w:val="16"/>
                            </w:rPr>
                          </w:pPr>
                          <w:r>
                            <w:rPr>
                              <w:b/>
                              <w:sz w:val="16"/>
                              <w:szCs w:val="16"/>
                            </w:rPr>
                            <w:t>Breathing</w:t>
                          </w:r>
                        </w:p>
                      </w:txbxContent>
                    </v:textbox>
                  </v:shape>
                  <v:shape id="_x0000_s1045" type="#_x0000_t202" style="position:absolute;left:13053;top:26909;width:7485;height:7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BF01D8" w:rsidRDefault="00CB4F73">
                          <w:pPr>
                            <w:jc w:val="center"/>
                            <w:rPr>
                              <w:b/>
                              <w:sz w:val="16"/>
                              <w:szCs w:val="16"/>
                            </w:rPr>
                          </w:pPr>
                          <w:r>
                            <w:rPr>
                              <w:b/>
                              <w:sz w:val="16"/>
                              <w:szCs w:val="16"/>
                            </w:rPr>
                            <w:t>Nutrition- Food and Drink</w:t>
                          </w:r>
                        </w:p>
                      </w:txbxContent>
                    </v:textbox>
                  </v:shape>
                  <v:shape id="_x0000_s1046" type="#_x0000_t202" style="position:absolute;left:16998;top:32512;width:8410;height:3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BF01D8" w:rsidRDefault="00CB4F73">
                          <w:pPr>
                            <w:jc w:val="center"/>
                            <w:rPr>
                              <w:b/>
                              <w:sz w:val="16"/>
                              <w:szCs w:val="16"/>
                            </w:rPr>
                          </w:pPr>
                          <w:r>
                            <w:rPr>
                              <w:b/>
                              <w:sz w:val="16"/>
                              <w:szCs w:val="16"/>
                            </w:rPr>
                            <w:t>Continence</w:t>
                          </w:r>
                        </w:p>
                      </w:txbxContent>
                    </v:textbox>
                  </v:shape>
                  <v:shape id="_x0000_s1047" type="#_x0000_t202" style="position:absolute;left:21970;top:27421;width:8048;height:5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BF01D8" w:rsidRDefault="00CB4F73">
                          <w:pPr>
                            <w:spacing w:after="0" w:line="240" w:lineRule="auto"/>
                            <w:jc w:val="center"/>
                            <w:rPr>
                              <w:b/>
                              <w:sz w:val="16"/>
                              <w:szCs w:val="16"/>
                            </w:rPr>
                          </w:pPr>
                          <w:r>
                            <w:rPr>
                              <w:b/>
                              <w:sz w:val="16"/>
                              <w:szCs w:val="16"/>
                            </w:rPr>
                            <w:t>Skin and tissue viability</w:t>
                          </w:r>
                        </w:p>
                        <w:p w:rsidR="00BF01D8" w:rsidRDefault="00BF01D8">
                          <w:pPr>
                            <w:jc w:val="center"/>
                          </w:pPr>
                        </w:p>
                      </w:txbxContent>
                    </v:textbox>
                  </v:shape>
                  <v:shape id="_x0000_s1048" type="#_x0000_t202" style="position:absolute;left:28859;top:35555;width:10970;height:3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BF01D8" w:rsidRDefault="00CB4F73">
                          <w:pPr>
                            <w:jc w:val="center"/>
                            <w:rPr>
                              <w:b/>
                              <w:sz w:val="16"/>
                              <w:szCs w:val="16"/>
                            </w:rPr>
                          </w:pPr>
                          <w:r>
                            <w:rPr>
                              <w:b/>
                              <w:sz w:val="16"/>
                              <w:szCs w:val="16"/>
                            </w:rPr>
                            <w:t>Communication</w:t>
                          </w:r>
                        </w:p>
                      </w:txbxContent>
                    </v:textbox>
                  </v:shape>
                  <v:shape id="_x0000_s1049" type="#_x0000_t202" style="position:absolute;left:34572;top:29231;width:8924;height:6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BF01D8" w:rsidRDefault="00CB4F73">
                          <w:pPr>
                            <w:spacing w:after="0" w:line="240" w:lineRule="auto"/>
                            <w:jc w:val="center"/>
                            <w:rPr>
                              <w:b/>
                              <w:sz w:val="16"/>
                              <w:szCs w:val="16"/>
                            </w:rPr>
                          </w:pPr>
                          <w:r>
                            <w:rPr>
                              <w:b/>
                              <w:sz w:val="16"/>
                              <w:szCs w:val="16"/>
                            </w:rPr>
                            <w:t>Psychological and emotional needs</w:t>
                          </w:r>
                        </w:p>
                      </w:txbxContent>
                    </v:textbox>
                  </v:shape>
                  <v:shape id="_x0000_s1050" type="#_x0000_t202" style="position:absolute;left:44453;top:32430;width:7485;height:4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F01D8" w:rsidRDefault="00CB4F73">
                          <w:pPr>
                            <w:jc w:val="center"/>
                            <w:rPr>
                              <w:b/>
                              <w:sz w:val="16"/>
                              <w:szCs w:val="16"/>
                            </w:rPr>
                          </w:pPr>
                          <w:r>
                            <w:rPr>
                              <w:b/>
                              <w:sz w:val="16"/>
                              <w:szCs w:val="16"/>
                            </w:rPr>
                            <w:t>Behaviour</w:t>
                          </w:r>
                        </w:p>
                      </w:txbxContent>
                    </v:textbox>
                  </v:shape>
                  <v:shape id="_x0000_s1051" type="#_x0000_t202" style="position:absolute;left:47981;top:27530;width:8888;height:5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BF01D8" w:rsidRDefault="00CB4F73">
                          <w:pPr>
                            <w:spacing w:after="0" w:line="240" w:lineRule="auto"/>
                            <w:jc w:val="center"/>
                            <w:rPr>
                              <w:b/>
                              <w:sz w:val="16"/>
                              <w:szCs w:val="16"/>
                            </w:rPr>
                          </w:pPr>
                          <w:r>
                            <w:rPr>
                              <w:b/>
                              <w:sz w:val="16"/>
                              <w:szCs w:val="16"/>
                            </w:rPr>
                            <w:t>Drug therapies etc.</w:t>
                          </w:r>
                        </w:p>
                      </w:txbxContent>
                    </v:textbox>
                  </v:shape>
                  <v:shape id="_x0000_s1052" type="#_x0000_t202" style="position:absolute;left:52356;top:32753;width:10456;height:5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BF01D8" w:rsidRDefault="00CB4F73">
                          <w:pPr>
                            <w:spacing w:after="0" w:line="240" w:lineRule="auto"/>
                            <w:jc w:val="center"/>
                            <w:rPr>
                              <w:b/>
                              <w:sz w:val="16"/>
                              <w:szCs w:val="16"/>
                            </w:rPr>
                          </w:pPr>
                          <w:r>
                            <w:rPr>
                              <w:b/>
                              <w:sz w:val="16"/>
                              <w:szCs w:val="16"/>
                            </w:rPr>
                            <w:t>Altered states of consciousness</w:t>
                          </w:r>
                        </w:p>
                      </w:txbxContent>
                    </v:textbox>
                  </v:shape>
                  <v:shape id="Straight Arrow Connector 88" o:spid="_x0000_s1053" type="#_x0000_t32" style="position:absolute;left:11501;top:42904;width:4799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uJEL4AAADbAAAADwAAAGRycy9kb3ducmV2LnhtbERPzYrCMBC+C75DGMGLaFq3iFajSEHw&#10;uFUfYGzGtthMShO1+vTmsLDHj+9/s+tNI57UudqygngWgSAurK65VHA5H6ZLEM4ja2wsk4I3Odht&#10;h4MNptq+OKfnyZcihLBLUUHlfZtK6YqKDLqZbYkDd7OdQR9gV0rd4SuEm0bOo2ghDdYcGipsKauo&#10;uJ8eRoHLf2kR58nq+pEY1/6dzCdZotR41O/XIDz1/l/85z5qBT9hbPgSfoD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9a4kQvgAAANsAAAAPAAAAAAAAAAAAAAAAAKEC&#10;AABkcnMvZG93bnJldi54bWxQSwUGAAAAAAQABAD5AAAAjAMAAAAA&#10;" strokeweight="2.25pt">
                    <v:stroke startarrow="open" endarrow="open"/>
                  </v:shape>
                  <v:shape id="Straight Arrow Connector 89" o:spid="_x0000_s1054" type="#_x0000_t32" style="position:absolute;left:4445;top:1488;width:0;height:288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PzrsMAAADbAAAADwAAAGRycy9kb3ducmV2LnhtbESPQYvCMBSE74L/ITzBi2i6CotW0yKC&#10;IC4Iq6LXR/Nsq81LabLa9debhQWPw8x8wyzS1lTiTo0rLSv4GEUgiDOrS84VHA/r4RSE88gaK8uk&#10;4JccpEm3s8BY2wd/033vcxEg7GJUUHhfx1K6rCCDbmRr4uBdbGPQB9nkUjf4CHBTyXEUfUqDJYeF&#10;AmtaFZTd9j9GAZ5dft3N3HO5/ZpGGzkwY70+KdXvtcs5CE+tf4f/2xutYDKDvy/hB8jk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j867DAAAA2wAAAA8AAAAAAAAAAAAA&#10;AAAAoQIAAGRycy9kb3ducmV2LnhtbFBLBQYAAAAABAAEAPkAAACRAwAAAAA=&#10;" strokeweight="2.25pt">
                    <v:stroke startarrow="open"/>
                  </v:shape>
                  <v:shape id="_x0000_s1055" type="#_x0000_t202" style="position:absolute;width:2149;height:35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BF01D8" w:rsidRDefault="00CB4F73">
                          <w:pPr>
                            <w:rPr>
                              <w:b/>
                            </w:rPr>
                          </w:pPr>
                          <w:r>
                            <w:rPr>
                              <w:b/>
                            </w:rPr>
                            <w:t>UPREDICTABILITY</w:t>
                          </w:r>
                        </w:p>
                      </w:txbxContent>
                    </v:textbox>
                  </v:shape>
                  <v:shape id="_x0000_s1056" type="#_x0000_t202" style="position:absolute;left:5644;top:3721;width:2665;height:25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BF01D8" w:rsidRDefault="00CB4F73">
                          <w:pPr>
                            <w:rPr>
                              <w:b/>
                            </w:rPr>
                          </w:pPr>
                          <w:r>
                            <w:rPr>
                              <w:b/>
                            </w:rPr>
                            <w:t>INTENSITY</w:t>
                          </w:r>
                        </w:p>
                      </w:txbxContent>
                    </v:textbox>
                  </v:shape>
                  <v:shape id="_x0000_s1057" type="#_x0000_t202" style="position:absolute;left:23920;top:39197;width:22148;height:4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BF01D8" w:rsidRDefault="00CB4F73">
                          <w:pPr>
                            <w:jc w:val="center"/>
                            <w:rPr>
                              <w:b/>
                            </w:rPr>
                          </w:pPr>
                          <w:r>
                            <w:rPr>
                              <w:b/>
                            </w:rPr>
                            <w:t>COMPLEXITY</w:t>
                          </w:r>
                        </w:p>
                      </w:txbxContent>
                    </v:textbox>
                  </v:shape>
                  <v:shape id="_x0000_s1058" type="#_x0000_t202" style="position:absolute;left:23920;top:42969;width:22148;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BF01D8" w:rsidRDefault="00CB4F73">
                          <w:pPr>
                            <w:jc w:val="center"/>
                            <w:rPr>
                              <w:b/>
                            </w:rPr>
                          </w:pPr>
                          <w:r>
                            <w:rPr>
                              <w:b/>
                            </w:rPr>
                            <w:t>INTENSITY</w:t>
                          </w:r>
                        </w:p>
                      </w:txbxContent>
                    </v:textbox>
                  </v:shape>
                  <v:group id="Group 295" o:spid="_x0000_s1059" style="position:absolute;left:10654;top:812;width:53498;height:21717" coordsize="53497,21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296" o:spid="_x0000_s1060" style="position:absolute;left:13337;top:14494;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SlsUA&#10;AADbAAAADwAAAGRycy9kb3ducmV2LnhtbESPQWsCMRSE74X+h/AKvdVstYqsRimC0oOoXUU8PjbP&#10;3cXNS9ikuvrrjSD0OMzMN8x42ppanKnxlWUFn50EBHFudcWFgt12/jEE4QOyxtoyKbiSh+nk9WWM&#10;qbYX/qVzFgoRIexTVFCG4FIpfV6SQd+xjjh6R9sYDFE2hdQNXiLc1LKbJANpsOK4UKKjWUn5Kfsz&#10;CtY3WmablR0cum6R93rr/fLqFkq9v7XfIxCB2vAffrZ/tIKvPj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9KWxQAAANsAAAAPAAAAAAAAAAAAAAAAAJgCAABkcnMv&#10;ZG93bnJldi54bWxQSwUGAAAAAAQABAD1AAAAigMAAAAA&#10;" strokeweight=".35281mm">
                      <v:textbox>
                        <w:txbxContent>
                          <w:p w:rsidR="00BF01D8" w:rsidRDefault="00CB4F73">
                            <w:pPr>
                              <w:jc w:val="center"/>
                            </w:pPr>
                            <w:r>
                              <w:t>L</w:t>
                            </w:r>
                          </w:p>
                        </w:txbxContent>
                      </v:textbox>
                    </v:rect>
                    <v:group id="Group 297" o:spid="_x0000_s1061" style="position:absolute;width:53497;height:21717" coordsize="53497,21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ect id="Rectangle 298" o:spid="_x0000_s1062" style="position:absolute;top:3665;width:4453;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HpesUA&#10;AADbAAAADwAAAGRycy9kb3ducmV2LnhtbESPQWsCMRSE70L/Q3iF3jRbFStboxRB8SBq11J6fGye&#10;u4ubl7BJdfXXG0HwOMzMN8xk1ppanKjxlWUF770EBHFudcWFgp/9ojsG4QOyxtoyKbiQh9n0pTPB&#10;VNszf9MpC4WIEPYpKihDcKmUPi/JoO9ZRxy9g20MhiibQuoGzxFuatlPkpE0WHFcKNHRvKT8mP0b&#10;BdsrrbPdxo7++m6ZDwbb3/XFLZV6e22/PkEEasMz/GivtILhB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el6xQAAANsAAAAPAAAAAAAAAAAAAAAAAJgCAABkcnMv&#10;ZG93bnJldi54bWxQSwUGAAAAAAQABAD1AAAAigMAAAAA&#10;" strokeweight=".35281mm">
                        <v:textbox>
                          <w:txbxContent>
                            <w:p w:rsidR="00BF01D8" w:rsidRDefault="00CB4F73">
                              <w:pPr>
                                <w:jc w:val="center"/>
                              </w:pPr>
                              <w:r>
                                <w:t>S</w:t>
                              </w:r>
                            </w:p>
                          </w:txbxContent>
                        </v:textbox>
                      </v:rect>
                      <v:rect id="Rectangle 299" o:spid="_x0000_s1063" style="position:absolute;left:4478;top:3665;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9CMMA&#10;AADbAAAADwAAAGRycy9kb3ducmV2LnhtbERPz2vCMBS+D/Y/hDfYbaa2Q0Y1igiWHcqcnYjHR/Ns&#10;i81LaDKt++uXw2DHj+/3YjWaXlxp8J1lBdNJAoK4trrjRsHha/vyBsIHZI29ZVJwJw+r5ePDAnNt&#10;b7ynaxUaEUPY56igDcHlUvq6JYN+Yh1x5M52MBgiHBqpB7zFcNPLNElm0mDHsaFFR5uW6kv1bRTs&#10;fqisPj/s7JS6os6y3bG8u0Kp56dxPQcRaAz/4j/3u1bwGsfG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9CMMAAADbAAAADwAAAAAAAAAAAAAAAACYAgAAZHJzL2Rv&#10;d25yZXYueG1sUEsFBgAAAAAEAAQA9QAAAIgDAAAAAA==&#10;" strokeweight=".35281mm">
                        <v:textbox>
                          <w:txbxContent>
                            <w:p w:rsidR="00BF01D8" w:rsidRDefault="00CB4F73">
                              <w:pPr>
                                <w:jc w:val="center"/>
                              </w:pPr>
                              <w:r>
                                <w:t>S</w:t>
                              </w:r>
                            </w:p>
                          </w:txbxContent>
                        </v:textbox>
                      </v:rect>
                      <v:rect id="Rectangle 300" o:spid="_x0000_s1064" style="position:absolute;width:4453;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Yk8UA&#10;AADbAAAADwAAAGRycy9kb3ducmV2LnhtbESPQWsCMRSE70L/Q3iF3jRbFalboxRB8SBq11J6fGye&#10;u4ubl7BJdfXXG0HwOMzMN8xk1ppanKjxlWUF770EBHFudcWFgp/9ovsBwgdkjbVlUnAhD7PpS2eC&#10;qbZn/qZTFgoRIexTVFCG4FIpfV6SQd+zjjh6B9sYDFE2hdQNniPc1LKfJCNpsOK4UKKjeUn5Mfs3&#10;CrZXWme7jR399d0yHwy2v+uLWyr19tp+fYII1IZn+NFeaQXDM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tiTxQAAANsAAAAPAAAAAAAAAAAAAAAAAJgCAABkcnMv&#10;ZG93bnJldi54bWxQSwUGAAAAAAQABAD1AAAAigMAAAAA&#10;" strokeweight=".35281mm">
                        <v:textbox>
                          <w:txbxContent>
                            <w:p w:rsidR="00BF01D8" w:rsidRDefault="00CB4F73">
                              <w:pPr>
                                <w:jc w:val="center"/>
                              </w:pPr>
                              <w:r>
                                <w:t>P</w:t>
                              </w:r>
                            </w:p>
                          </w:txbxContent>
                        </v:textbox>
                      </v:rect>
                      <v:rect id="Rectangle 301" o:spid="_x0000_s1065" style="position:absolute;left:8892;top:7267;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Hn08MA&#10;AADbAAAADwAAAGRycy9kb3ducmV2LnhtbERPz2vCMBS+D/Y/hDfYbaa2TEY1igiWHcqcnYjHR/Ns&#10;i81LaDKt++uXw2DHj+/3YjWaXlxp8J1lBdNJAoK4trrjRsHha/vyBsIHZI29ZVJwJw+r5ePDAnNt&#10;b7ynaxUaEUPY56igDcHlUvq6JYN+Yh1x5M52MBgiHBqpB7zFcNPLNElm0mDHsaFFR5uW6kv1bRTs&#10;fqisPj/s7JS6os6y3bG8u0Kp56dxPQcRaAz/4j/3u1bwGtfH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Hn08MAAADbAAAADwAAAAAAAAAAAAAAAACYAgAAZHJzL2Rv&#10;d25yZXYueG1sUEsFBgAAAAAEAAQA9QAAAIgDAAAAAA==&#10;" strokeweight=".35281mm">
                        <v:textbox>
                          <w:txbxContent>
                            <w:p w:rsidR="00BF01D8" w:rsidRDefault="00CB4F73">
                              <w:pPr>
                                <w:jc w:val="center"/>
                              </w:pPr>
                              <w:r>
                                <w:t>H</w:t>
                              </w:r>
                            </w:p>
                          </w:txbxContent>
                        </v:textbox>
                      </v:rect>
                      <v:rect id="Rectangle 302" o:spid="_x0000_s1066" style="position:absolute;left:13371;top:3601;width:4453;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1CSMUA&#10;AADbAAAADwAAAGRycy9kb3ducmV2LnhtbESPQWvCQBSE7wX/w/IEb7pRUUp0IyJUPIjWtBSPj+xr&#10;Epp9u2S3JvbXdwtCj8PMfMOsN71pxI1aX1tWMJ0kIIgLq2suFby/vYyfQfiArLGxTAru5GGTDZ7W&#10;mGrb8YVueShFhLBPUUEVgkul9EVFBv3EOuLofdrWYIiyLaVusYtw08hZkiylwZrjQoWOdhUVX/m3&#10;UXD+oWP+erLL68zti/n8/HG8u71So2G/XYEI1If/8KN90AoWU/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UJIxQAAANsAAAAPAAAAAAAAAAAAAAAAAJgCAABkcnMv&#10;ZG93bnJldi54bWxQSwUGAAAAAAQABAD1AAAAigMAAAAA&#10;" strokeweight=".35281mm">
                        <v:textbox>
                          <w:txbxContent>
                            <w:p w:rsidR="00BF01D8" w:rsidRDefault="00CB4F73">
                              <w:pPr>
                                <w:jc w:val="center"/>
                              </w:pPr>
                              <w:r>
                                <w:t>S</w:t>
                              </w:r>
                            </w:p>
                          </w:txbxContent>
                        </v:textbox>
                      </v:rect>
                      <v:rect id="Rectangle 303" o:spid="_x0000_s1067" style="position:absolute;left:17757;top:3601;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P8UA&#10;AADbAAAADwAAAGRycy9kb3ducmV2LnhtbESPT2vCQBTE74V+h+UVvNVNI4pEVykFxYP4Jy3i8ZF9&#10;JqHZt0t21eind4VCj8PM/IaZzjvTiAu1vras4KOfgCAurK65VPDzvXgfg/ABWWNjmRTcyMN89voy&#10;xUzbK+/pkodSRAj7DBVUIbhMSl9UZND3rSOO3sm2BkOUbSl1i9cIN41Mk2QkDdYcFyp09FVR8Zuf&#10;jYLtndb5bmNHx9Qti8Fge1jf3FKp3lv3OQERqAv/4b/2SisYpvD8En+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9w/xQAAANsAAAAPAAAAAAAAAAAAAAAAAJgCAABkcnMv&#10;ZG93bnJldi54bWxQSwUGAAAAAAQABAD1AAAAigMAAAAA&#10;" strokeweight=".35281mm">
                        <v:textbox>
                          <w:txbxContent>
                            <w:p w:rsidR="00BF01D8" w:rsidRDefault="00CB4F73">
                              <w:pPr>
                                <w:jc w:val="center"/>
                              </w:pPr>
                              <w:r>
                                <w:t>S</w:t>
                              </w:r>
                            </w:p>
                          </w:txbxContent>
                        </v:textbox>
                      </v:rect>
                      <v:rect id="Rectangle 304" o:spid="_x0000_s1068" style="position:absolute;left:22236;top:7267;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5pMQA&#10;AADbAAAADwAAAGRycy9kb3ducmV2LnhtbESPQWvCQBSE7wX/w/KE3nSjQSmpq4ig9CDaRik9PrKv&#10;STD7dsmuGv31bkHocZiZb5jZojONuFDra8sKRsMEBHFhdc2lguNhPXgD4QOyxsYyKbiRh8W89zLD&#10;TNsrf9ElD6WIEPYZKqhCcJmUvqjIoB9aRxy9X9saDFG2pdQtXiPcNHKcJFNpsOa4UKGjVUXFKT8b&#10;Bfs7bfPPnZ3+jN2mSNP99/bmNkq99rvlO4hAXfgPP9sfWsEkhb8v8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DeaTEAAAA2wAAAA8AAAAAAAAAAAAAAAAAmAIAAGRycy9k&#10;b3ducmV2LnhtbFBLBQYAAAAABAAEAPUAAACJAwAAAAA=&#10;" strokeweight=".35281mm">
                        <v:textbox>
                          <w:txbxContent>
                            <w:p w:rsidR="00BF01D8" w:rsidRDefault="00CB4F73">
                              <w:pPr>
                                <w:jc w:val="center"/>
                              </w:pPr>
                              <w:r>
                                <w:t>H</w:t>
                              </w:r>
                            </w:p>
                          </w:txbxContent>
                        </v:textbox>
                      </v:rect>
                      <v:rect id="Rectangle 305" o:spid="_x0000_s1069" style="position:absolute;left:26715;top:7267;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0MUA&#10;AADbAAAADwAAAGRycy9kb3ducmV2LnhtbESPQWsCMRSE74X+h/AKvdVstYqsRimC0oOoXUU8PjbP&#10;3cXNS9ikuvrrjSD0OMzMN8x42ppanKnxlWUFn50EBHFudcWFgt12/jEE4QOyxtoyKbiSh+nk9WWM&#10;qbYX/qVzFgoRIexTVFCG4FIpfV6SQd+xjjh6R9sYDFE2hdQNXiLc1LKbJANpsOK4UKKjWUn5Kfsz&#10;CtY3WmablR0cum6R93rr/fLqFkq9v7XfIxCB2vAffrZ/tIL+Fz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6uHQxQAAANsAAAAPAAAAAAAAAAAAAAAAAJgCAABkcnMv&#10;ZG93bnJldi54bWxQSwUGAAAAAAQABAD1AAAAigMAAAAA&#10;" strokeweight=".35281mm">
                        <v:textbox>
                          <w:txbxContent>
                            <w:p w:rsidR="00BF01D8" w:rsidRDefault="00CB4F73">
                              <w:pPr>
                                <w:jc w:val="center"/>
                              </w:pPr>
                              <w:r>
                                <w:t>H</w:t>
                              </w:r>
                            </w:p>
                          </w:txbxContent>
                        </v:textbox>
                      </v:rect>
                      <v:rect id="Rectangle 306" o:spid="_x0000_s1070" style="position:absolute;left:31115;top:3601;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ZES8UA&#10;AADbAAAADwAAAGRycy9kb3ducmV2LnhtbESPT2vCQBTE7wW/w/IEb2ajopTUVURQehD/pKX0+Mi+&#10;JqHZt0t2q9FP7wpCj8PM/IaZLzvTiDO1vrasYJSkIIgLq2suFXx+bIavIHxA1thYJgVX8rBc9F7m&#10;mGl74ROd81CKCGGfoYIqBJdJ6YuKDPrEOuLo/djWYIiyLaVu8RLhppHjNJ1JgzXHhQodrSsqfvM/&#10;o+Bwo11+3NvZ99hti8nk8LW7uq1Sg363egMRqAv/4Wf7XSuYTuH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pkRLxQAAANsAAAAPAAAAAAAAAAAAAAAAAJgCAABkcnMv&#10;ZG93bnJldi54bWxQSwUGAAAAAAQABAD1AAAAigMAAAAA&#10;" strokeweight=".35281mm">
                        <v:textbox>
                          <w:txbxContent>
                            <w:p w:rsidR="00BF01D8" w:rsidRDefault="00CB4F73">
                              <w:pPr>
                                <w:jc w:val="center"/>
                              </w:pPr>
                              <w:r>
                                <w:t>S</w:t>
                              </w:r>
                            </w:p>
                          </w:txbxContent>
                        </v:textbox>
                      </v:rect>
                      <v:rect id="Rectangle 308" o:spid="_x0000_s1071" style="position:absolute;left:35594;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aPMUA&#10;AADbAAAADwAAAGRycy9kb3ducmV2LnhtbESPQWvCQBSE74L/YXmF3nRTpUFSN6EIlR6kalpKj4/s&#10;axKafbtktxr99a4geBxm5htmWQymEwfqfWtZwdM0AUFcWd1yreDr822yAOEDssbOMik4kYciH4+W&#10;mGl75D0dylCLCGGfoYImBJdJ6auGDPqpdcTR+7W9wRBlX0vd4zHCTSdnSZJKgy3HhQYdrRqq/sp/&#10;o2B7pk25+7Dpz8ytq/l8+705ubVSjw/D6wuIQEO4h2/td63gOYXrl/g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No8xQAAANsAAAAPAAAAAAAAAAAAAAAAAJgCAABkcnMv&#10;ZG93bnJldi54bWxQSwUGAAAAAAQABAD1AAAAigMAAAAA&#10;" strokeweight=".35281mm">
                        <v:textbox>
                          <w:txbxContent>
                            <w:p w:rsidR="00BF01D8" w:rsidRDefault="00CB4F73">
                              <w:pPr>
                                <w:jc w:val="center"/>
                              </w:pPr>
                              <w:r>
                                <w:t>P</w:t>
                              </w:r>
                            </w:p>
                          </w:txbxContent>
                        </v:textbox>
                      </v:rect>
                      <v:rect id="Rectangle 309" o:spid="_x0000_s1072" style="position:absolute;left:35594;top:3601;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h/p8UA&#10;AADbAAAADwAAAGRycy9kb3ducmV2LnhtbESPQWsCMRSE70L/Q3iF3jRbRStboxRB8SBq11J6fGye&#10;u4ubl7BJdfXXG0HwOMzMN8xk1ppanKjxlWUF770EBHFudcWFgp/9ojsG4QOyxtoyKbiQh9n0pTPB&#10;VNszf9MpC4WIEPYpKihDcKmUPi/JoO9ZRxy9g20MhiibQuoGzxFuatlPkpE0WHFcKNHRvKT8mP0b&#10;BdsrrbPdxo7++m6ZDwbb3/XFLZV6e22/PkEEasMz/GivtILhB9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OH+nxQAAANsAAAAPAAAAAAAAAAAAAAAAAJgCAABkcnMv&#10;ZG93bnJldi54bWxQSwUGAAAAAAQABAD1AAAAigMAAAAA&#10;" strokeweight=".35281mm">
                        <v:textbox>
                          <w:txbxContent>
                            <w:p w:rsidR="00BF01D8" w:rsidRDefault="00CB4F73">
                              <w:pPr>
                                <w:jc w:val="center"/>
                              </w:pPr>
                              <w:r>
                                <w:t>S</w:t>
                              </w:r>
                            </w:p>
                          </w:txbxContent>
                        </v:textbox>
                      </v:rect>
                      <v:rect id="Rectangle 310" o:spid="_x0000_s1073" style="position:absolute;left:40073;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fr1cMA&#10;AADbAAAADwAAAGRycy9kb3ducmV2LnhtbERPz2vCMBS+D/Y/hDfYbaa2TEY1igiWHcqcnYjHR/Ns&#10;i81LaDKt++uXw2DHj+/3YjWaXlxp8J1lBdNJAoK4trrjRsHha/vyBsIHZI29ZVJwJw+r5ePDAnNt&#10;b7ynaxUaEUPY56igDcHlUvq6JYN+Yh1x5M52MBgiHBqpB7zFcNPLNElm0mDHsaFFR5uW6kv1bRTs&#10;fqisPj/s7JS6os6y3bG8u0Kp56dxPQcRaAz/4j/3u1bwGsfG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fr1cMAAADbAAAADwAAAAAAAAAAAAAAAACYAgAAZHJzL2Rv&#10;d25yZXYueG1sUEsFBgAAAAAEAAQA9QAAAIgDAAAAAA==&#10;" strokeweight=".35281mm">
                        <v:textbox>
                          <w:txbxContent>
                            <w:p w:rsidR="00BF01D8" w:rsidRDefault="00CB4F73">
                              <w:pPr>
                                <w:jc w:val="center"/>
                              </w:pPr>
                              <w:r>
                                <w:t>P</w:t>
                              </w:r>
                            </w:p>
                          </w:txbxContent>
                        </v:textbox>
                      </v:rect>
                      <v:rect id="Rectangle 311" o:spid="_x0000_s1074" style="position:absolute;left:44551;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OTsUA&#10;AADbAAAADwAAAGRycy9kb3ducmV2LnhtbESPQWsCMRSE70L/Q3iF3jRbRalboxRB8SBq11J6fGye&#10;u4ubl7BJdfXXG0HwOMzMN8xk1ppanKjxlWUF770EBHFudcWFgp/9ovsBwgdkjbVlUnAhD7PpS2eC&#10;qbZn/qZTFgoRIexTVFCG4FIpfV6SQd+zjjh6B9sYDFE2hdQNniPc1LKfJCNpsOK4UKKjeUn5Mfs3&#10;CrZXWme7jR399d0yHwy2v+uLWyr19tp+fYII1IZn+NFeaQXDM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605OxQAAANsAAAAPAAAAAAAAAAAAAAAAAJgCAABkcnMv&#10;ZG93bnJldi54bWxQSwUGAAAAAAQABAD1AAAAigMAAAAA&#10;" strokeweight=".35281mm">
                        <v:textbox>
                          <w:txbxContent>
                            <w:p w:rsidR="00BF01D8" w:rsidRDefault="00CB4F73">
                              <w:pPr>
                                <w:jc w:val="center"/>
                              </w:pPr>
                              <w:r>
                                <w:t>P</w:t>
                              </w:r>
                            </w:p>
                          </w:txbxContent>
                        </v:textbox>
                      </v:rect>
                      <v:rect id="Rectangle 312" o:spid="_x0000_s1075" style="position:absolute;left:49044;top:3601;width:4453;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0tbsIA&#10;AADbAAAADwAAAGRycy9kb3ducmV2LnhtbERPz2vCMBS+D/Y/hDfwNlMtlNEZZQiTHcRu3RgeH82z&#10;LWteQhNt61+/HASPH9/v1WY0nbhQ71vLChbzBARxZXXLtYKf7/fnFxA+IGvsLJOCiTxs1o8PK8y1&#10;HfiLLmWoRQxhn6OCJgSXS+mrhgz6uXXEkTvZ3mCIsK+l7nGI4aaTyyTJpMGWY0ODjrYNVX/l2Sgo&#10;rrQvPw82Oy7drkrT4nc/uZ1Ss6fx7RVEoDHcxTf3h1aQxfXx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S1uwgAAANsAAAAPAAAAAAAAAAAAAAAAAJgCAABkcnMvZG93&#10;bnJldi54bWxQSwUGAAAAAAQABAD1AAAAhwMAAAAA&#10;" strokeweight=".35281mm">
                        <v:textbox>
                          <w:txbxContent>
                            <w:p w:rsidR="00BF01D8" w:rsidRDefault="00CB4F73">
                              <w:pPr>
                                <w:jc w:val="center"/>
                              </w:pPr>
                              <w:r>
                                <w:t>S</w:t>
                              </w:r>
                            </w:p>
                          </w:txbxContent>
                        </v:textbox>
                      </v:rect>
                      <v:rect id="Rectangle 313" o:spid="_x0000_s1076" style="position:absolute;top:7267;width:4453;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9cUA&#10;AADbAAAADwAAAGRycy9kb3ducmV2LnhtbESPQWvCQBSE70L/w/IK3swmCkGiayiFSg9SayzF4yP7&#10;moRm3y7ZVWN/fbdQ8DjMzDfMuhxNLy40+M6ygixJQRDXVnfcKPg4vsyWIHxA1thbJgU38lBuHiZr&#10;LLS98oEuVWhEhLAvUEEbgiuk9HVLBn1iHXH0vuxgMEQ5NFIPeI1w08t5mubSYMdxoUVHzy3V39XZ&#10;KNj/0K56f7P5ae629WKx/9zd3Fap6eP4tAIRaAz38H/7VSvIM/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8Yj1xQAAANsAAAAPAAAAAAAAAAAAAAAAAJgCAABkcnMv&#10;ZG93bnJldi54bWxQSwUGAAAAAAQABAD1AAAAigMAAAAA&#10;" strokeweight=".35281mm">
                        <v:textbox>
                          <w:txbxContent>
                            <w:p w:rsidR="00BF01D8" w:rsidRDefault="00CB4F73">
                              <w:pPr>
                                <w:jc w:val="center"/>
                              </w:pPr>
                              <w:r>
                                <w:t>H</w:t>
                              </w:r>
                            </w:p>
                          </w:txbxContent>
                        </v:textbox>
                      </v:rect>
                      <v:rect id="Rectangle 314" o:spid="_x0000_s1077" style="position:absolute;top:10910;width:4453;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WgsQA&#10;AADbAAAADwAAAGRycy9kb3ducmV2LnhtbESPQWvCQBSE74X+h+UVvNVNI4QSXUUKlR5EbVrE4yP7&#10;TILZt0t21eivdwXB4zAz3zCTWW9acaLON5YVfAwTEMSl1Q1XCv7/vt8/QfiArLG1TAou5GE2fX2Z&#10;YK7tmX/pVIRKRAj7HBXUIbhcSl/WZNAPrSOO3t52BkOUXSV1h+cIN61MkySTBhuOCzU6+qqpPBRH&#10;o2B9pWWxWdlsl7pFORqtt8uLWyg1eOvnYxCB+vAMP9o/WkGWwv1L/AF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jFoLEAAAA2wAAAA8AAAAAAAAAAAAAAAAAmAIAAGRycy9k&#10;b3ducmV2LnhtbFBLBQYAAAAABAAEAPUAAACJAwAAAAA=&#10;" strokeweight=".35281mm">
                        <v:textbox>
                          <w:txbxContent>
                            <w:p w:rsidR="00BF01D8" w:rsidRDefault="00CB4F73">
                              <w:pPr>
                                <w:jc w:val="center"/>
                              </w:pPr>
                              <w:r>
                                <w:t>M</w:t>
                              </w:r>
                            </w:p>
                          </w:txbxContent>
                        </v:textbox>
                      </v:rect>
                      <v:rect id="Rectangle 315" o:spid="_x0000_s1078" style="position:absolute;top:14494;width:4453;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GcQA&#10;AADbAAAADwAAAGRycy9kb3ducmV2LnhtbESPQWvCQBSE70L/w/IKvelGA0Giq4hQ6UG0pkU8PrLP&#10;JJh9u2S3Gv313ULB4zAz3zDzZW9acaXON5YVjEcJCOLS6oYrBd9f78MpCB+QNbaWScGdPCwXL4M5&#10;5tre+EDXIlQiQtjnqKAOweVS+rImg35kHXH0zrYzGKLsKqk7vEW4aeUkSTJpsOG4UKOjdU3lpfgx&#10;CvYP2hafO5udJm5Tpun+uL27jVJvr/1qBiJQH57h//aHVpCl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vsxnEAAAA2wAAAA8AAAAAAAAAAAAAAAAAmAIAAGRycy9k&#10;b3ducmV2LnhtbFBLBQYAAAAABAAEAPUAAACJAwAAAAA=&#10;" strokeweight=".35281mm">
                        <v:textbox>
                          <w:txbxContent>
                            <w:p w:rsidR="00BF01D8" w:rsidRDefault="00CB4F73">
                              <w:pPr>
                                <w:jc w:val="center"/>
                              </w:pPr>
                              <w:r>
                                <w:t>L</w:t>
                              </w:r>
                            </w:p>
                          </w:txbxContent>
                        </v:textbox>
                      </v:rect>
                      <v:rect id="Rectangle 316" o:spid="_x0000_s1079" style="position:absolute;top:18071;width:4453;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rbcUA&#10;AADbAAAADwAAAGRycy9kb3ducmV2LnhtbESPQWvCQBSE74L/YXmF3nRTLUFSN6EIlR6kalpKj4/s&#10;axKafbtktxr99a4geBxm5htmWQymEwfqfWtZwdM0AUFcWd1yreDr822yAOEDssbOMik4kYciH4+W&#10;mGl75D0dylCLCGGfoYImBJdJ6auGDPqpdcTR+7W9wRBlX0vd4zHCTSdnSZJKgy3HhQYdrRqq/sp/&#10;o2B7pk25+7Dpz8ytq/l8+705ubVSjw/D6wuIQEO4h2/td60gfYbrl/g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hittxQAAANsAAAAPAAAAAAAAAAAAAAAAAJgCAABkcnMv&#10;ZG93bnJldi54bWxQSwUGAAAAAAQABAD1AAAAigMAAAAA&#10;" strokeweight=".35281mm">
                        <v:textbox>
                          <w:txbxContent>
                            <w:p w:rsidR="00BF01D8" w:rsidRDefault="00CB4F73">
                              <w:pPr>
                                <w:jc w:val="center"/>
                              </w:pPr>
                              <w:r>
                                <w:t>N</w:t>
                              </w:r>
                            </w:p>
                          </w:txbxContent>
                        </v:textbox>
                      </v:rect>
                      <v:rect id="Rectangle 317" o:spid="_x0000_s1080" style="position:absolute;left:4478;top:7267;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qO9sUA&#10;AADbAAAADwAAAGRycy9kb3ducmV2LnhtbESPQWvCQBSE74L/YXmF3nRTpUFSN6EIlR6kalpKj4/s&#10;axKafbtktxr99a4geBxm5htmWQymEwfqfWtZwdM0AUFcWd1yreDr822yAOEDssbOMik4kYciH4+W&#10;mGl75D0dylCLCGGfoYImBJdJ6auGDPqpdcTR+7W9wRBlX0vd4zHCTSdnSZJKgy3HhQYdrRqq/sp/&#10;o2B7pk25+7Dpz8ytq/l8+705ubVSjw/D6wuIQEO4h2/td60gfYbrl/g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o72xQAAANsAAAAPAAAAAAAAAAAAAAAAAJgCAABkcnMv&#10;ZG93bnJldi54bWxQSwUGAAAAAAQABAD1AAAAigMAAAAA&#10;" strokeweight=".35281mm">
                        <v:textbox>
                          <w:txbxContent>
                            <w:p w:rsidR="00BF01D8" w:rsidRDefault="00CB4F73">
                              <w:pPr>
                                <w:jc w:val="center"/>
                              </w:pPr>
                              <w:r>
                                <w:t>H</w:t>
                              </w:r>
                            </w:p>
                          </w:txbxContent>
                        </v:textbox>
                      </v:rect>
                      <v:rect id="Rectangle 318" o:spid="_x0000_s1081" style="position:absolute;left:4478;top:10910;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QgcQA&#10;AADbAAAADwAAAGRycy9kb3ducmV2LnhtbESPT4vCMBTE7wv7HcJb8LamKhSpRhFhZQ/in+4iHh/N&#10;sy02L6GJWv30ZmHB4zAzv2Gm88404kqtry0rGPQTEMSF1TWXCn5/vj7HIHxA1thYJgV38jCfvb9N&#10;MdP2xnu65qEUEcI+QwVVCC6T0hcVGfR964ijd7KtwRBlW0rd4i3CTSOHSZJKgzXHhQodLSsqzvnF&#10;KNg+aJ3vNjY9Dt2qGI22h/XdrZTqfXSLCYhAXXiF/9vfWkGawt+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YEIHEAAAA2wAAAA8AAAAAAAAAAAAAAAAAmAIAAGRycy9k&#10;b3ducmV2LnhtbFBLBQYAAAAABAAEAPUAAACJAwAAAAA=&#10;" strokeweight=".35281mm">
                        <v:textbox>
                          <w:txbxContent>
                            <w:p w:rsidR="00BF01D8" w:rsidRDefault="00CB4F73">
                              <w:pPr>
                                <w:jc w:val="center"/>
                              </w:pPr>
                              <w:r>
                                <w:t>M</w:t>
                              </w:r>
                            </w:p>
                          </w:txbxContent>
                        </v:textbox>
                      </v:rect>
                      <v:rect id="Rectangle 319" o:spid="_x0000_s1082" style="position:absolute;left:4478;top:14494;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1GsYA&#10;AADbAAAADwAAAGRycy9kb3ducmV2LnhtbESPT2vCQBTE7wW/w/IK3nRThSipm1CEigfxT1pKj4/s&#10;axKafbtktxr99N2C0OMwM79hVsVgOnGm3reWFTxNExDEldUt1wre314nSxA+IGvsLJOCK3ko8tHD&#10;CjNtL3yicxlqESHsM1TQhOAyKX3VkEE/tY44el+2Nxii7Gupe7xEuOnkLElSabDluNCgo3VD1Xf5&#10;YxQcbrQrj3ubfs7cpprPDx+7q9soNX4cXp5BBBrCf/je3moF6QL+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lS1GsYAAADbAAAADwAAAAAAAAAAAAAAAACYAgAAZHJz&#10;L2Rvd25yZXYueG1sUEsFBgAAAAAEAAQA9QAAAIsDAAAAAA==&#10;" strokeweight=".35281mm">
                        <v:textbox>
                          <w:txbxContent>
                            <w:p w:rsidR="00BF01D8" w:rsidRDefault="00CB4F73">
                              <w:pPr>
                                <w:jc w:val="center"/>
                              </w:pPr>
                              <w:r>
                                <w:t>L</w:t>
                              </w:r>
                            </w:p>
                          </w:txbxContent>
                        </v:textbox>
                      </v:rect>
                      <v:rect id="Rectangle 65" o:spid="_x0000_s1083" style="position:absolute;left:4478;top:18071;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shaMIA&#10;AADbAAAADwAAAGRycy9kb3ducmV2LnhtbERPz2vCMBS+D/Y/hDfwNlMtlNEZZQiTHcRu3RgeH82z&#10;LWteQhNt61+/HASPH9/v1WY0nbhQ71vLChbzBARxZXXLtYKf7/fnFxA+IGvsLJOCiTxs1o8PK8y1&#10;HfiLLmWoRQxhn6OCJgSXS+mrhgz6uXXEkTvZ3mCIsK+l7nGI4aaTyyTJpMGWY0ODjrYNVX/l2Sgo&#10;rrQvPw82Oy7drkrT4nc/uZ1Ss6fx7RVEoDHcxTf3h1aQxbHx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yyFowgAAANsAAAAPAAAAAAAAAAAAAAAAAJgCAABkcnMvZG93&#10;bnJldi54bWxQSwUGAAAAAAQABAD1AAAAhwMAAAAA&#10;" strokeweight=".35281mm">
                        <v:textbox>
                          <w:txbxContent>
                            <w:p w:rsidR="00BF01D8" w:rsidRDefault="00CB4F73">
                              <w:pPr>
                                <w:jc w:val="center"/>
                              </w:pPr>
                              <w:r>
                                <w:t>N</w:t>
                              </w:r>
                            </w:p>
                          </w:txbxContent>
                        </v:textbox>
                      </v:rect>
                      <v:rect id="Rectangle 94" o:spid="_x0000_s1084" style="position:absolute;left:8957;top:10910;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eE88YA&#10;AADbAAAADwAAAGRycy9kb3ducmV2LnhtbESPT2vCQBTE7wW/w/IK3nRThaCpm1CEigfxT1pKj4/s&#10;axKafbtktxr99N2C0OMwM79hVsVgOnGm3reWFTxNExDEldUt1wre314nCxA+IGvsLJOCK3ko8tHD&#10;CjNtL3yicxlqESHsM1TQhOAyKX3VkEE/tY44el+2Nxii7Gupe7xEuOnkLElSabDluNCgo3VD1Xf5&#10;YxQcbrQrj3ubfs7cpprPDx+7q9soNX4cXp5BBBrCf/je3moF6RL+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eE88YAAADbAAAADwAAAAAAAAAAAAAAAACYAgAAZHJz&#10;L2Rvd25yZXYueG1sUEsFBgAAAAAEAAQA9QAAAIsDAAAAAA==&#10;" strokeweight=".35281mm">
                        <v:textbox>
                          <w:txbxContent>
                            <w:p w:rsidR="00BF01D8" w:rsidRDefault="00CB4F73">
                              <w:pPr>
                                <w:jc w:val="center"/>
                              </w:pPr>
                              <w:r>
                                <w:t>M</w:t>
                              </w:r>
                            </w:p>
                          </w:txbxContent>
                        </v:textbox>
                      </v:rect>
                      <v:rect id="Rectangle 320" o:spid="_x0000_s1085" style="position:absolute;left:8957;top:14494;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S7s8MA&#10;AADbAAAADwAAAGRycy9kb3ducmV2LnhtbERPz2vCMBS+D/Y/hDfYbaa24EY1igiWHcqcnYjHR/Ns&#10;i81LaDKt++uXw2DHj+/3YjWaXlxp8J1lBdNJAoK4trrjRsHha/vyBsIHZI29ZVJwJw+r5ePDAnNt&#10;b7ynaxUaEUPY56igDcHlUvq6JYN+Yh1x5M52MBgiHBqpB7zFcNPLNElm0mDHsaFFR5uW6kv1bRTs&#10;fqisPj/s7JS6os6y3bG8u0Kp56dxPQcRaAz/4j/3u1bwGtfH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S7s8MAAADbAAAADwAAAAAAAAAAAAAAAACYAgAAZHJzL2Rv&#10;d25yZXYueG1sUEsFBgAAAAAEAAQA9QAAAIgDAAAAAA==&#10;" strokeweight=".35281mm">
                        <v:textbox>
                          <w:txbxContent>
                            <w:p w:rsidR="00BF01D8" w:rsidRDefault="00CB4F73">
                              <w:pPr>
                                <w:jc w:val="center"/>
                              </w:pPr>
                              <w:r>
                                <w:t>L</w:t>
                              </w:r>
                            </w:p>
                          </w:txbxContent>
                        </v:textbox>
                      </v:rect>
                      <v:rect id="Rectangle 321" o:spid="_x0000_s1086" style="position:absolute;left:8957;top:18071;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geKMUA&#10;AADbAAAADwAAAGRycy9kb3ducmV2LnhtbESPT4vCMBTE74LfIbyFva2pCirVKIug7EH8U0U8Ppq3&#10;bdnmJTRRq59+s7DgcZiZ3zCzRWtqcaPGV5YV9HsJCOLc6ooLBafj6mMCwgdkjbVlUvAgD4t5tzPD&#10;VNs7H+iWhUJECPsUFZQhuFRKn5dk0PesI47et20MhiibQuoG7xFuajlIkpE0WHFcKNHRsqT8J7sa&#10;BbsnbbL91o4uA7fOh8PdefNwa6Xe39rPKYhAbXiF/9tfWsG4D3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B4oxQAAANsAAAAPAAAAAAAAAAAAAAAAAJgCAABkcnMv&#10;ZG93bnJldi54bWxQSwUGAAAAAAQABAD1AAAAigMAAAAA&#10;" strokeweight=".35281mm">
                        <v:textbox>
                          <w:txbxContent>
                            <w:p w:rsidR="00BF01D8" w:rsidRDefault="00CB4F73">
                              <w:pPr>
                                <w:jc w:val="center"/>
                              </w:pPr>
                              <w:r>
                                <w:t>N</w:t>
                              </w:r>
                            </w:p>
                          </w:txbxContent>
                        </v:textbox>
                      </v:rect>
                      <v:rect id="Rectangle 322" o:spid="_x0000_s1087" style="position:absolute;left:13371;top:7267;width:4501;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AX8UA&#10;AADbAAAADwAAAGRycy9kb3ducmV2LnhtbESPQWvCQBSE74X+h+UVvOmmCWiJrlIKBg9SbVrE4yP7&#10;TEKzb5fsqrG/vlsQehxm5htmsRpMJy7U+9aygudJAoK4srrlWsHX53r8AsIHZI2dZVJwIw+r5ePD&#10;AnNtr/xBlzLUIkLY56igCcHlUvqqIYN+Yh1x9E62Nxii7Gupe7xGuOlkmiRTabDluNCgo7eGqu/y&#10;bBTsfmhb7t/t9Ji6osqy3WF7c4VSo6fhdQ4i0BD+w/f2RiuYpf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BfxQAAANsAAAAPAAAAAAAAAAAAAAAAAJgCAABkcnMv&#10;ZG93bnJldi54bWxQSwUGAAAAAAQABAD1AAAAigMAAAAA&#10;" strokeweight=".35281mm">
                        <v:textbox>
                          <w:txbxContent>
                            <w:p w:rsidR="00BF01D8" w:rsidRDefault="00CB4F73">
                              <w:pPr>
                                <w:jc w:val="center"/>
                              </w:pPr>
                              <w:r>
                                <w:t>H</w:t>
                              </w:r>
                            </w:p>
                          </w:txbxContent>
                        </v:textbox>
                      </v:rect>
                      <v:rect id="Rectangle 323" o:spid="_x0000_s1088" style="position:absolute;left:13342;top:10910;width:4454;height:3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lxMUA&#10;AADbAAAADwAAAGRycy9kb3ducmV2LnhtbESPQWvCQBSE74X+h+UVvOmmCWiJrlIKBg9SbVrE4yP7&#10;TEKzb5fsqrG/vlsQehxm5htmsRpMJy7U+9aygudJAoK4srrlWsHX53r8AsIHZI2dZVJwIw+r5ePD&#10;AnNtr/xBlzLUIkLY56igCcHlUvqqIYN+Yh1x9E62Nxii7Gupe7xGuOlkmiRTabDluNCgo7eGqu/y&#10;bBTsfmhb7t/t9Ji6osqy3WF7c4VSo6fhdQ4i0BD+w/f2RiuYZf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tiXExQAAANsAAAAPAAAAAAAAAAAAAAAAAJgCAABkcnMv&#10;ZG93bnJldi54bWxQSwUGAAAAAAQABAD1AAAAigMAAAAA&#10;" strokeweight=".35281mm">
                        <v:textbox>
                          <w:txbxContent>
                            <w:p w:rsidR="00BF01D8" w:rsidRDefault="00CB4F73">
                              <w:pPr>
                                <w:jc w:val="center"/>
                              </w:pPr>
                              <w:r>
                                <w:t>M</w:t>
                              </w:r>
                            </w:p>
                          </w:txbxContent>
                        </v:textbox>
                      </v:rect>
                      <v:rect id="Rectangle 324" o:spid="_x0000_s1089" style="position:absolute;left:13416;top:18071;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9sMUA&#10;AADbAAAADwAAAGRycy9kb3ducmV2LnhtbESPQWsCMRSE70L/Q3iF3jRbFStboxRB8SBq11J6fGye&#10;u4ubl7BJdfXXG0HwOMzMN8xk1ppanKjxlWUF770EBHFudcWFgp/9ojsG4QOyxtoyKbiQh9n0pTPB&#10;VNszf9MpC4WIEPYpKihDcKmUPi/JoO9ZRxy9g20MhiibQuoGzxFuatlPkpE0WHFcKNHRvKT8mP0b&#10;BdsrrbPdxo7++m6ZDwbb3/XFLZV6e22/PkEEasMz/GivtIKPI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X72wxQAAANsAAAAPAAAAAAAAAAAAAAAAAJgCAABkcnMv&#10;ZG93bnJldi54bWxQSwUGAAAAAAQABAD1AAAAigMAAAAA&#10;" strokeweight=".35281mm">
                        <v:textbox>
                          <w:txbxContent>
                            <w:p w:rsidR="00BF01D8" w:rsidRDefault="00CB4F73">
                              <w:pPr>
                                <w:jc w:val="center"/>
                              </w:pPr>
                              <w:r>
                                <w:t>N</w:t>
                              </w:r>
                            </w:p>
                          </w:txbxContent>
                        </v:textbox>
                      </v:rect>
                      <v:rect id="Rectangle 325" o:spid="_x0000_s1090" style="position:absolute;left:17757;top:7267;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MYK8UA&#10;AADbAAAADwAAAGRycy9kb3ducmV2LnhtbESPQWsCMRSE70L/Q3iF3jRbRStboxRB8SBq11J6fGye&#10;u4ubl7BJdfXXG0HwOMzMN8xk1ppanKjxlWUF770EBHFudcWFgp/9ojsG4QOyxtoyKbiQh9n0pTPB&#10;VNszf9MpC4WIEPYpKihDcKmUPi/JoO9ZRxy9g20MhiibQuoGzxFuatlPkpE0WHFcKNHRvKT8mP0b&#10;BdsrrbPdxo7++m6ZDwbb3/XFLZV6e22/PkEEasMz/GivtIKPI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xgrxQAAANsAAAAPAAAAAAAAAAAAAAAAAJgCAABkcnMv&#10;ZG93bnJldi54bWxQSwUGAAAAAAQABAD1AAAAigMAAAAA&#10;" strokeweight=".35281mm">
                        <v:textbox>
                          <w:txbxContent>
                            <w:p w:rsidR="00BF01D8" w:rsidRDefault="00CB4F73">
                              <w:pPr>
                                <w:jc w:val="center"/>
                              </w:pPr>
                              <w:r>
                                <w:t>H</w:t>
                              </w:r>
                            </w:p>
                          </w:txbxContent>
                        </v:textbox>
                      </v:rect>
                      <v:rect id="Rectangle 326" o:spid="_x0000_s1091" style="position:absolute;left:17757;top:10910;width:4454;height:37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GXMYA&#10;AADbAAAADwAAAGRycy9kb3ducmV2LnhtbESPT2vCQBTE7wW/w/IK3nRThSipm1CEigfxT1pKj4/s&#10;axKafbtktxr99N2C0OMwM79hVsVgOnGm3reWFTxNExDEldUt1wre314nSxA+IGvsLJOCK3ko8tHD&#10;CjNtL3yicxlqESHsM1TQhOAyKX3VkEE/tY44el+2Nxii7Gupe7xEuOnkLElSabDluNCgo3VD1Xf5&#10;YxQcbrQrj3ubfs7cpprPDx+7q9soNX4cXp5BBBrCf/je3moFixT+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GGXMYAAADbAAAADwAAAAAAAAAAAAAAAACYAgAAZHJz&#10;L2Rvd25yZXYueG1sUEsFBgAAAAAEAAQA9QAAAIsDAAAAAA==&#10;" strokeweight=".35281mm">
                        <v:textbox>
                          <w:txbxContent>
                            <w:p w:rsidR="00BF01D8" w:rsidRDefault="00CB4F73">
                              <w:pPr>
                                <w:jc w:val="center"/>
                              </w:pPr>
                              <w:r>
                                <w:t>M</w:t>
                              </w:r>
                            </w:p>
                          </w:txbxContent>
                        </v:textbox>
                      </v:rect>
                      <v:rect id="Rectangle 327" o:spid="_x0000_s1092" style="position:absolute;left:17757;top:14470;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0jx8UA&#10;AADbAAAADwAAAGRycy9kb3ducmV2LnhtbESPT2vCQBTE7wW/w/IEb2ajgpbUVURQehD/pKX0+Mi+&#10;JqHZt0t2q9FP7wpCj8PM/IaZLzvTiDO1vrasYJSkIIgLq2suFXx+bIavIHxA1thYJgVX8rBc9F7m&#10;mGl74ROd81CKCGGfoYIqBJdJ6YuKDPrEOuLo/djWYIiyLaVu8RLhppHjNJ1KgzXHhQodrSsqfvM/&#10;o+Bwo11+3Nvp99hti8nk8LW7uq1Sg363egMRqAv/4Wf7XSuYzeD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SPHxQAAANsAAAAPAAAAAAAAAAAAAAAAAJgCAABkcnMv&#10;ZG93bnJldi54bWxQSwUGAAAAAAQABAD1AAAAigMAAAAA&#10;" strokeweight=".35281mm">
                        <v:textbox>
                          <w:txbxContent>
                            <w:p w:rsidR="00BF01D8" w:rsidRDefault="00CB4F73">
                              <w:pPr>
                                <w:jc w:val="center"/>
                              </w:pPr>
                              <w:r>
                                <w:t>L</w:t>
                              </w:r>
                            </w:p>
                          </w:txbxContent>
                        </v:textbox>
                      </v:rect>
                      <v:rect id="Rectangle 328" o:spid="_x0000_s1093" style="position:absolute;left:17757;top:18071;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3tcMA&#10;AADbAAAADwAAAGRycy9kb3ducmV2LnhtbERPz2vCMBS+D/Y/hDfYbaa24EY1igiWHcqcnYjHR/Ns&#10;i81LaDKt++uXw2DHj+/3YjWaXlxp8J1lBdNJAoK4trrjRsHha/vyBsIHZI29ZVJwJw+r5ePDAnNt&#10;b7ynaxUaEUPY56igDcHlUvq6JYN+Yh1x5M52MBgiHBqpB7zFcNPLNElm0mDHsaFFR5uW6kv1bRTs&#10;fqisPj/s7JS6os6y3bG8u0Kp56dxPQcRaAz/4j/3u1bwGsfG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K3tcMAAADbAAAADwAAAAAAAAAAAAAAAACYAgAAZHJzL2Rv&#10;d25yZXYueG1sUEsFBgAAAAAEAAQA9QAAAIgDAAAAAA==&#10;" strokeweight=".35281mm">
                        <v:textbox>
                          <w:txbxContent>
                            <w:p w:rsidR="00BF01D8" w:rsidRDefault="00CB4F73">
                              <w:pPr>
                                <w:jc w:val="center"/>
                              </w:pPr>
                              <w:r>
                                <w:t>N</w:t>
                              </w:r>
                            </w:p>
                          </w:txbxContent>
                        </v:textbox>
                      </v:rect>
                      <v:rect id="Rectangle 329" o:spid="_x0000_s1094" style="position:absolute;left:22236;top:10951;width:4502;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SLsUA&#10;AADbAAAADwAAAGRycy9kb3ducmV2LnhtbESPQWsCMRSE70L/Q3hCbzWrgq2rUUqh4kHUriIeH5vn&#10;7uLmJWxSXf31plDwOMzMN8x03ppaXKjxlWUF/V4Cgji3uuJCwX73/fYBwgdkjbVlUnAjD/PZS2eK&#10;qbZX/qFLFgoRIexTVFCG4FIpfV6SQd+zjjh6J9sYDFE2hdQNXiPc1HKQJCNpsOK4UKKjr5Lyc/Zr&#10;FGzutMq2azs6DtwiHw43h9XNLZR67bafExCB2vAM/7eXWsH7GP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hIuxQAAANsAAAAPAAAAAAAAAAAAAAAAAJgCAABkcnMv&#10;ZG93bnJldi54bWxQSwUGAAAAAAQABAD1AAAAigMAAAAA&#10;" strokeweight=".35281mm">
                        <v:textbox>
                          <w:txbxContent>
                            <w:p w:rsidR="00BF01D8" w:rsidRDefault="00CB4F73">
                              <w:pPr>
                                <w:jc w:val="center"/>
                              </w:pPr>
                              <w:r>
                                <w:t>M</w:t>
                              </w:r>
                            </w:p>
                          </w:txbxContent>
                        </v:textbox>
                      </v:rect>
                      <v:rect id="Rectangle 330" o:spid="_x0000_s1095" style="position:absolute;left:22236;top:14470;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LlMEA&#10;AADbAAAADwAAAGRycy9kb3ducmV2LnhtbERPTYvCMBC9C/sfwix403QVRKpRRFjxUHSty+JxaMa2&#10;2ExCE7X6681hwePjfc+XnWnEjVpfW1bwNUxAEBdW11wq+D1+D6YgfEDW2FgmBQ/ysFx89OaYanvn&#10;A93yUIoYwj5FBVUILpXSFxUZ9EPriCN3tq3BEGFbSt3iPYabRo6SZCIN1hwbKnS0rqi45FejYP+k&#10;LP/Z2clp5DbFeLz/yx5uo1T/s1vNQATqwlv8795qBdO4Pn6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xy5TBAAAA2wAAAA8AAAAAAAAAAAAAAAAAmAIAAGRycy9kb3du&#10;cmV2LnhtbFBLBQYAAAAABAAEAPUAAACGAwAAAAA=&#10;" strokeweight=".35281mm">
                        <v:textbox>
                          <w:txbxContent>
                            <w:p w:rsidR="00BF01D8" w:rsidRDefault="00CB4F73">
                              <w:pPr>
                                <w:jc w:val="center"/>
                              </w:pPr>
                              <w:r>
                                <w:t>L</w:t>
                              </w:r>
                            </w:p>
                          </w:txbxContent>
                        </v:textbox>
                      </v:rect>
                      <v:rect id="Rectangle 331" o:spid="_x0000_s1096" style="position:absolute;left:22236;top:18071;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1uD8MA&#10;AADbAAAADwAAAGRycy9kb3ducmV2LnhtbESPQYvCMBSE74L/IbyFvWmqgkg1iiwoHmTV7iIeH82z&#10;LTYvoYla99dvBMHjMDPfMLNFa2pxo8ZXlhUM+gkI4tzqigsFvz+r3gSED8gaa8uk4EEeFvNuZ4ap&#10;tnc+0C0LhYgQ9ikqKENwqZQ+L8mg71tHHL2zbQyGKJtC6gbvEW5qOUySsTRYcVwo0dFXSfkluxoF&#10;uz/aZvtvOz4N3TofjXbH7cOtlfr8aJdTEIHa8A6/2hutYDKA55f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1uD8MAAADbAAAADwAAAAAAAAAAAAAAAACYAgAAZHJzL2Rv&#10;d25yZXYueG1sUEsFBgAAAAAEAAQA9QAAAIgDAAAAAA==&#10;" strokeweight=".35281mm">
                        <v:textbox>
                          <w:txbxContent>
                            <w:p w:rsidR="00BF01D8" w:rsidRDefault="00CB4F73">
                              <w:pPr>
                                <w:jc w:val="center"/>
                              </w:pPr>
                              <w:r>
                                <w:t>N</w:t>
                              </w:r>
                            </w:p>
                          </w:txbxContent>
                        </v:textbox>
                      </v:rect>
                      <v:rect id="Rectangle 332" o:spid="_x0000_s1097" style="position:absolute;left:26715;top:10951;width:4399;height:3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weMUA&#10;AADbAAAADwAAAGRycy9kb3ducmV2LnhtbESPQWvCQBSE74X+h+UJ3pqNEURS11AKDR5Ea1pKj4/s&#10;axKafbtkV43+ercg9DjMzDfMqhhNL040+M6yglmSgiCure64UfD58fa0BOEDssbeMim4kIdi/fiw&#10;wlzbMx/oVIVGRAj7HBW0IbhcSl+3ZNAn1hFH78cOBkOUQyP1gOcIN73M0nQhDXYcF1p09NpS/Vsd&#10;jYL9lbbV+84uvjNX1vP5/mt7caVS08n48gwi0Bj+w/f2RitYZvD3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L/B4xQAAANsAAAAPAAAAAAAAAAAAAAAAAJgCAABkcnMv&#10;ZG93bnJldi54bWxQSwUGAAAAAAQABAD1AAAAigMAAAAA&#10;" strokeweight=".35281mm">
                        <v:textbox>
                          <w:txbxContent>
                            <w:p w:rsidR="00BF01D8" w:rsidRDefault="00CB4F73">
                              <w:pPr>
                                <w:jc w:val="center"/>
                              </w:pPr>
                              <w:r>
                                <w:t>M</w:t>
                              </w:r>
                            </w:p>
                          </w:txbxContent>
                        </v:textbox>
                      </v:rect>
                      <v:rect id="Rectangle 333" o:spid="_x0000_s1098" style="position:absolute;left:26715;top:14494;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NV48QA&#10;AADbAAAADwAAAGRycy9kb3ducmV2LnhtbESPQWvCQBSE7wX/w/IKvTWbGhBJXUUExYNUTUV6fGRf&#10;k9Ds2yW7avTXu4LQ4zAz3zCTWW9acabON5YVfCQpCOLS6oYrBYfv5fsYhA/IGlvLpOBKHmbTwcsE&#10;c20vvKdzESoRIexzVFCH4HIpfVmTQZ9YRxy9X9sZDFF2ldQdXiLctHKYpiNpsOG4UKOjRU3lX3Ey&#10;CrY32hS7Lzv6GbpVmWXb4+bqVkq9vfbzTxCB+vAffrbXWsE4g8e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jVePEAAAA2wAAAA8AAAAAAAAAAAAAAAAAmAIAAGRycy9k&#10;b3ducmV2LnhtbFBLBQYAAAAABAAEAPUAAACJAwAAAAA=&#10;" strokeweight=".35281mm">
                        <v:textbox>
                          <w:txbxContent>
                            <w:p w:rsidR="00BF01D8" w:rsidRDefault="00CB4F73">
                              <w:pPr>
                                <w:jc w:val="center"/>
                              </w:pPr>
                              <w:r>
                                <w:t>L</w:t>
                              </w:r>
                            </w:p>
                          </w:txbxContent>
                        </v:textbox>
                      </v:rect>
                      <v:rect id="Rectangle 334" o:spid="_x0000_s1099" style="position:absolute;left:26715;top:18071;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Nl8UA&#10;AADbAAAADwAAAGRycy9kb3ducmV2LnhtbESPQWvCQBSE7wX/w/KE3ppNVUSiGymFSg9SNZbi8ZF9&#10;TUKzb5fs1kR/fbcgeBxm5htmtR5MK87U+cayguckBUFcWt1wpeDz+Pa0AOEDssbWMim4kId1PnpY&#10;YaZtzwc6F6ESEcI+QwV1CC6T0pc1GfSJdcTR+7adwRBlV0ndYR/hppWTNJ1Lgw3HhRodvdZU/hS/&#10;RsHuStti/2Hnp4nblNPp7mt7cRulHsfDyxJEoCHcw7f2u1awmMH/l/g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is2XxQAAANsAAAAPAAAAAAAAAAAAAAAAAJgCAABkcnMv&#10;ZG93bnJldi54bWxQSwUGAAAAAAQABAD1AAAAigMAAAAA&#10;" strokeweight=".35281mm">
                        <v:textbox>
                          <w:txbxContent>
                            <w:p w:rsidR="00BF01D8" w:rsidRDefault="00CB4F73">
                              <w:pPr>
                                <w:jc w:val="center"/>
                              </w:pPr>
                              <w:r>
                                <w:t>N</w:t>
                              </w:r>
                            </w:p>
                          </w:txbxContent>
                        </v:textbox>
                      </v:rect>
                      <v:rect id="Rectangle 335" o:spid="_x0000_s1100" style="position:absolute;left:31115;top:7267;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ZoDMUA&#10;AADbAAAADwAAAGRycy9kb3ducmV2LnhtbESPQWvCQBSE7wX/w/KE3ppNFUWiGymFSg9SNZbi8ZF9&#10;TUKzb5fs1kR/fbcgeBxm5htmtR5MK87U+cayguckBUFcWt1wpeDz+Pa0AOEDssbWMim4kId1PnpY&#10;YaZtzwc6F6ESEcI+QwV1CC6T0pc1GfSJdcTR+7adwRBlV0ndYR/hppWTNJ1Lgw3HhRodvdZU/hS/&#10;RsHuStti/2Hnp4nblNPp7mt7cRulHsfDyxJEoCHcw7f2u1awmMH/l/g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mgMxQAAANsAAAAPAAAAAAAAAAAAAAAAAJgCAABkcnMv&#10;ZG93bnJldi54bWxQSwUGAAAAAAQABAD1AAAAigMAAAAA&#10;" strokeweight=".35281mm">
                        <v:textbox>
                          <w:txbxContent>
                            <w:p w:rsidR="00BF01D8" w:rsidRDefault="00CB4F73">
                              <w:pPr>
                                <w:jc w:val="center"/>
                              </w:pPr>
                              <w:r>
                                <w:t>H</w:t>
                              </w:r>
                            </w:p>
                          </w:txbxContent>
                        </v:textbox>
                      </v:rect>
                      <v:rect id="Rectangle 336" o:spid="_x0000_s1101" style="position:absolute;left:31115;top:10975;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T2e8UA&#10;AADbAAAADwAAAGRycy9kb3ducmV2LnhtbESPQWvCQBSE7wX/w/IKvdVNIwSJrkEEpQepNhXx+Mg+&#10;k2D27ZLdauyv7wqFHoeZ+YaZF4PpxJV631pW8DZOQBBXVrdcKzh8rV+nIHxA1thZJgV38lAsRk9z&#10;zLW98Sddy1CLCGGfo4ImBJdL6auGDPqxdcTRO9veYIiyr6Xu8RbhppNpkmTSYMtxoUFHq4aqS/lt&#10;FOx+aFvuP2x2St2mmkx2x+3dbZR6eR6WMxCBhvAf/mu/awXTDB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FPZ7xQAAANsAAAAPAAAAAAAAAAAAAAAAAJgCAABkcnMv&#10;ZG93bnJldi54bWxQSwUGAAAAAAQABAD1AAAAigMAAAAA&#10;" strokeweight=".35281mm">
                        <v:textbox>
                          <w:txbxContent>
                            <w:p w:rsidR="00BF01D8" w:rsidRDefault="00CB4F73">
                              <w:pPr>
                                <w:jc w:val="center"/>
                              </w:pPr>
                              <w:r>
                                <w:t>M</w:t>
                              </w:r>
                            </w:p>
                          </w:txbxContent>
                        </v:textbox>
                      </v:rect>
                      <v:rect id="Rectangle 337" o:spid="_x0000_s1102" style="position:absolute;left:31115;top:14494;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hT4MUA&#10;AADbAAAADwAAAGRycy9kb3ducmV2LnhtbESPQWvCQBSE7wX/w/IEb81GBZXUVURQehC1aSk9PrKv&#10;SWj27ZLdavTXu4LgcZiZb5j5sjONOFHra8sKhkkKgriwuuZSwdfn5nUGwgdkjY1lUnAhD8tF72WO&#10;mbZn/qBTHkoRIewzVFCF4DIpfVGRQZ9YRxy9X9saDFG2pdQtniPcNHKUphNpsOa4UKGjdUXFX/5v&#10;FByutMuPezv5GbltMR4fvncXt1Vq0O9WbyACdeEZfrTftYLZF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FPgxQAAANsAAAAPAAAAAAAAAAAAAAAAAJgCAABkcnMv&#10;ZG93bnJldi54bWxQSwUGAAAAAAQABAD1AAAAigMAAAAA&#10;" strokeweight=".35281mm">
                        <v:textbox>
                          <w:txbxContent>
                            <w:p w:rsidR="00BF01D8" w:rsidRDefault="00CB4F73">
                              <w:pPr>
                                <w:jc w:val="center"/>
                              </w:pPr>
                              <w:r>
                                <w:t>L</w:t>
                              </w:r>
                            </w:p>
                          </w:txbxContent>
                        </v:textbox>
                      </v:rect>
                      <v:rect id="Rectangle 338" o:spid="_x0000_s1103" style="position:absolute;left:31115;top:18071;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fHksEA&#10;AADbAAAADwAAAGRycy9kb3ducmV2LnhtbERPTYvCMBC9C/sfwix403QVRKpRRFjxUHSty+JxaMa2&#10;2ExCE7X6681hwePjfc+XnWnEjVpfW1bwNUxAEBdW11wq+D1+D6YgfEDW2FgmBQ/ysFx89OaYanvn&#10;A93yUIoYwj5FBVUILpXSFxUZ9EPriCN3tq3BEGFbSt3iPYabRo6SZCIN1hwbKnS0rqi45FejYP+k&#10;LP/Z2clp5DbFeLz/yx5uo1T/s1vNQATqwlv8795qBdM4Nn6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Hx5LBAAAA2wAAAA8AAAAAAAAAAAAAAAAAmAIAAGRycy9kb3du&#10;cmV2LnhtbFBLBQYAAAAABAAEAPUAAACGAwAAAAA=&#10;" strokeweight=".35281mm">
                        <v:textbox>
                          <w:txbxContent>
                            <w:p w:rsidR="00BF01D8" w:rsidRDefault="00CB4F73">
                              <w:pPr>
                                <w:jc w:val="center"/>
                              </w:pPr>
                              <w:r>
                                <w:t>N</w:t>
                              </w:r>
                            </w:p>
                          </w:txbxContent>
                        </v:textbox>
                      </v:rect>
                      <v:rect id="Rectangle 339" o:spid="_x0000_s1104" style="position:absolute;left:35594;top:7267;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tiCcUA&#10;AADbAAAADwAAAGRycy9kb3ducmV2LnhtbESPT2vCQBTE7wW/w/IEb2ajgtjUVURQehD/pKX0+Mi+&#10;JqHZt0t2q9FP7wpCj8PM/IaZLzvTiDO1vrasYJSkIIgLq2suFXx+bIYzED4ga2wsk4IreVguei9z&#10;zLS98InOeShFhLDPUEEVgsuk9EVFBn1iHXH0fmxrMETZllK3eIlw08hxmk6lwZrjQoWO1hUVv/mf&#10;UXC40S4/7u30e+y2xWRy+Npd3VapQb9bvYEI1IX/8LP9rhXMXuHxJf4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2IJxQAAANsAAAAPAAAAAAAAAAAAAAAAAJgCAABkcnMv&#10;ZG93bnJldi54bWxQSwUGAAAAAAQABAD1AAAAigMAAAAA&#10;" strokeweight=".35281mm">
                        <v:textbox>
                          <w:txbxContent>
                            <w:p w:rsidR="00BF01D8" w:rsidRDefault="00CB4F73">
                              <w:pPr>
                                <w:jc w:val="center"/>
                              </w:pPr>
                              <w:r>
                                <w:t>H</w:t>
                              </w:r>
                            </w:p>
                          </w:txbxContent>
                        </v:textbox>
                      </v:rect>
                      <v:rect id="Rectangle 340" o:spid="_x0000_s1105" style="position:absolute;left:35594;top:10975;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hdScMA&#10;AADbAAAADwAAAGRycy9kb3ducmV2LnhtbERPz2vCMBS+D/Y/hDfYbaa2IFs1igiWHcqcnYjHR/Ns&#10;i81LaDKt++uXw2DHj+/3YjWaXlxp8J1lBdNJAoK4trrjRsHha/vyCsIHZI29ZVJwJw+r5ePDAnNt&#10;b7ynaxUaEUPY56igDcHlUvq6JYN+Yh1x5M52MBgiHBqpB7zFcNPLNElm0mDHsaFFR5uW6kv1bRTs&#10;fqisPj/s7JS6os6y3bG8u0Kp56dxPQcRaAz/4j/3u1bwFtfHL/EH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hdScMAAADbAAAADwAAAAAAAAAAAAAAAACYAgAAZHJzL2Rv&#10;d25yZXYueG1sUEsFBgAAAAAEAAQA9QAAAIgDAAAAAA==&#10;" strokeweight=".35281mm">
                        <v:textbox>
                          <w:txbxContent>
                            <w:p w:rsidR="00BF01D8" w:rsidRDefault="00CB4F73">
                              <w:pPr>
                                <w:jc w:val="center"/>
                              </w:pPr>
                              <w:r>
                                <w:t>M</w:t>
                              </w:r>
                            </w:p>
                          </w:txbxContent>
                        </v:textbox>
                      </v:rect>
                      <v:rect id="Rectangle 341" o:spid="_x0000_s1106" style="position:absolute;left:35594;top:14494;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40sUA&#10;AADbAAAADwAAAGRycy9kb3ducmV2LnhtbESPT4vCMBTE74LfIbyFva2pCqLVKIug7EH8U0U8Ppq3&#10;bdnmJTRRq59+s7DgcZiZ3zCzRWtqcaPGV5YV9HsJCOLc6ooLBafj6mMMwgdkjbVlUvAgD4t5tzPD&#10;VNs7H+iWhUJECPsUFZQhuFRKn5dk0PesI47et20MhiibQuoG7xFuajlIkpE0WHFcKNHRsqT8J7sa&#10;BbsnbbL91o4uA7fOh8PdefNwa6Xe39rPKYhAbXiF/9tfWsGkD3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PjSxQAAANsAAAAPAAAAAAAAAAAAAAAAAJgCAABkcnMv&#10;ZG93bnJldi54bWxQSwUGAAAAAAQABAD1AAAAigMAAAAA&#10;" strokeweight=".35281mm">
                        <v:textbox>
                          <w:txbxContent>
                            <w:p w:rsidR="00BF01D8" w:rsidRDefault="00CB4F73">
                              <w:pPr>
                                <w:jc w:val="center"/>
                              </w:pPr>
                              <w:r>
                                <w:t>L</w:t>
                              </w:r>
                            </w:p>
                          </w:txbxContent>
                        </v:textbox>
                      </v:rect>
                      <v:rect id="Rectangle 342" o:spid="_x0000_s1107" style="position:absolute;left:35594;top:18071;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mpcUA&#10;AADbAAAADwAAAGRycy9kb3ducmV2LnhtbESPQWvCQBSE74X+h+UVvOmmCYiNrlIKBg9SbVrE4yP7&#10;TEKzb5fsqrG/vlsQehxm5htmsRpMJy7U+9aygudJAoK4srrlWsHX53o8A+EDssbOMim4kYfV8vFh&#10;gbm2V/6gSxlqESHsc1TQhOByKX3VkEE/sY44eifbGwxR9rXUPV4j3HQyTZKpNNhyXGjQ0VtD1Xd5&#10;Ngp2P7Qt9+92ekxdUWXZ7rC9uUKp0dPwOgcRaAj/4Xt7oxW8pP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9malxQAAANsAAAAPAAAAAAAAAAAAAAAAAJgCAABkcnMv&#10;ZG93bnJldi54bWxQSwUGAAAAAAQABAD1AAAAigMAAAAA&#10;" strokeweight=".35281mm">
                        <v:textbox>
                          <w:txbxContent>
                            <w:p w:rsidR="00BF01D8" w:rsidRDefault="00CB4F73">
                              <w:pPr>
                                <w:jc w:val="center"/>
                              </w:pPr>
                              <w:r>
                                <w:t>N</w:t>
                              </w:r>
                            </w:p>
                          </w:txbxContent>
                        </v:textbox>
                      </v:rect>
                      <v:rect id="Rectangle 343" o:spid="_x0000_s1108" style="position:absolute;left:40073;top:3601;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DPsUA&#10;AADbAAAADwAAAGRycy9kb3ducmV2LnhtbESPQWvCQBSE74X+h+UVvOmmCYiNrlIKBg9SbVrE4yP7&#10;TEKzb5fsqrG/vlsQehxm5htmsRpMJy7U+9aygudJAoK4srrlWsHX53o8A+EDssbOMim4kYfV8vFh&#10;gbm2V/6gSxlqESHsc1TQhOByKX3VkEE/sY44eifbGwxR9rXUPV4j3HQyTZKpNNhyXGjQ0VtD1Xd5&#10;Ngp2P7Qt9+92ekxdUWXZ7rC9uUKp0dPwOgcRaAj/4Xt7oxW8ZPD3Jf4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sM+xQAAANsAAAAPAAAAAAAAAAAAAAAAAJgCAABkcnMv&#10;ZG93bnJldi54bWxQSwUGAAAAAAQABAD1AAAAigMAAAAA&#10;" strokeweight=".35281mm">
                        <v:textbox>
                          <w:txbxContent>
                            <w:p w:rsidR="00BF01D8" w:rsidRDefault="00CB4F73">
                              <w:pPr>
                                <w:jc w:val="center"/>
                              </w:pPr>
                              <w:r>
                                <w:t>S</w:t>
                              </w:r>
                            </w:p>
                          </w:txbxContent>
                        </v:textbox>
                      </v:rect>
                      <v:rect id="Rectangle 344" o:spid="_x0000_s1109" style="position:absolute;left:40073;top:7267;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NbSsUA&#10;AADbAAAADwAAAGRycy9kb3ducmV2LnhtbESPQWsCMRSE70L/Q3iF3jRbFalboxRB8SBq11J6fGye&#10;u4ubl7BJdfXXG0HwOMzMN8xk1ppanKjxlWUF770EBHFudcWFgp/9ovsBwgdkjbVlUnAhD7PpS2eC&#10;qbZn/qZTFgoRIexTVFCG4FIpfV6SQd+zjjh6B9sYDFE2hdQNniPc1LKfJCNpsOK4UKKjeUn5Mfs3&#10;CrZXWme7jR399d0yHwy2v+uLWyr19tp+fYII1IZn+NFeaQXjI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1tKxQAAANsAAAAPAAAAAAAAAAAAAAAAAJgCAABkcnMv&#10;ZG93bnJldi54bWxQSwUGAAAAAAQABAD1AAAAigMAAAAA&#10;" strokeweight=".35281mm">
                        <v:textbox>
                          <w:txbxContent>
                            <w:p w:rsidR="00BF01D8" w:rsidRDefault="00CB4F73">
                              <w:pPr>
                                <w:jc w:val="center"/>
                              </w:pPr>
                              <w:r>
                                <w:t>H</w:t>
                              </w:r>
                            </w:p>
                          </w:txbxContent>
                        </v:textbox>
                      </v:rect>
                      <v:rect id="Rectangle 345" o:spid="_x0000_s1110" style="position:absolute;left:40073;top:10975;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0cUA&#10;AADbAAAADwAAAGRycy9kb3ducmV2LnhtbESPQWsCMRSE70L/Q3iF3jRbRalboxRB8SBq11J6fGye&#10;u4ubl7BJdfXXG0HwOMzMN8xk1ppanKjxlWUF770EBHFudcWFgp/9ovsBwgdkjbVlUnAhD7PpS2eC&#10;qbZn/qZTFgoRIexTVFCG4FIpfV6SQd+zjjh6B9sYDFE2hdQNniPc1LKfJCNpsOK4UKKjeUn5Mfs3&#10;CrZXWme7jR399d0yHwy2v+uLWyr19tp+fYII1IZn+NFeaQXjIdy/xB8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7RxQAAANsAAAAPAAAAAAAAAAAAAAAAAJgCAABkcnMv&#10;ZG93bnJldi54bWxQSwUGAAAAAAQABAD1AAAAigMAAAAA&#10;" strokeweight=".35281mm">
                        <v:textbox>
                          <w:txbxContent>
                            <w:p w:rsidR="00BF01D8" w:rsidRDefault="00CB4F73">
                              <w:pPr>
                                <w:jc w:val="center"/>
                              </w:pPr>
                              <w:r>
                                <w:t>M</w:t>
                              </w:r>
                            </w:p>
                          </w:txbxContent>
                        </v:textbox>
                      </v:rect>
                      <v:rect id="Rectangle 346" o:spid="_x0000_s1111" style="position:absolute;left:40073;top:14494;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1gpsYA&#10;AADbAAAADwAAAGRycy9kb3ducmV2LnhtbESPT2vCQBTE7wW/w/IK3nRThaCpm1CEigfxT1pKj4/s&#10;axKafbtktxr99N2C0OMwM79hVsVgOnGm3reWFTxNExDEldUt1wre314nCxA+IGvsLJOCK3ko8tHD&#10;CjNtL3yicxlqESHsM1TQhOAyKX3VkEE/tY44el+2Nxii7Gupe7xEuOnkLElSabDluNCgo3VD1Xf5&#10;YxQcbrQrj3ubfs7cpprPDx+7q9soNX4cXp5BBBrCf/je3moFyxT+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1gpsYAAADbAAAADwAAAAAAAAAAAAAAAACYAgAAZHJz&#10;L2Rvd25yZXYueG1sUEsFBgAAAAAEAAQA9QAAAIsDAAAAAA==&#10;" strokeweight=".35281mm">
                        <v:textbox>
                          <w:txbxContent>
                            <w:p w:rsidR="00BF01D8" w:rsidRDefault="00CB4F73">
                              <w:pPr>
                                <w:jc w:val="center"/>
                              </w:pPr>
                              <w:r>
                                <w:t>L</w:t>
                              </w:r>
                            </w:p>
                          </w:txbxContent>
                        </v:textbox>
                      </v:rect>
                      <v:rect id="Rectangle 347" o:spid="_x0000_s1112" style="position:absolute;left:40073;top:18071;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HFPcUA&#10;AADbAAAADwAAAGRycy9kb3ducmV2LnhtbESPQWsCMRSE70L/Q3hCbzWrgq2rUUqh4kHUriIeH5vn&#10;7uLmJWxSXf31plDwOMzMN8x03ppaXKjxlWUF/V4Cgji3uuJCwX73/fYBwgdkjbVlUnAjD/PZS2eK&#10;qbZX/qFLFgoRIexTVFCG4FIpfV6SQd+zjjh6J9sYDFE2hdQNXiPc1HKQJCNpsOK4UKKjr5Lyc/Zr&#10;FGzutMq2azs6DtwiHw43h9XNLZR67bafExCB2vAM/7eXWsH4Hf6+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cU9xQAAANsAAAAPAAAAAAAAAAAAAAAAAJgCAABkcnMv&#10;ZG93bnJldi54bWxQSwUGAAAAAAQABAD1AAAAigMAAAAA&#10;" strokeweight=".35281mm">
                        <v:textbox>
                          <w:txbxContent>
                            <w:p w:rsidR="00BF01D8" w:rsidRDefault="00CB4F73">
                              <w:pPr>
                                <w:jc w:val="center"/>
                              </w:pPr>
                              <w:r>
                                <w:t>N</w:t>
                              </w:r>
                            </w:p>
                          </w:txbxContent>
                        </v:textbox>
                      </v:rect>
                      <v:rect id="Rectangle 348" o:spid="_x0000_s1113" style="position:absolute;left:44551;top:3601;width:4454;height:3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93YL4A&#10;AADbAAAADwAAAGRycy9kb3ducmV2LnhtbERPy4rCMBTdD/gP4QpuxKZ1IVqNIoLDgCsfuL4016ba&#10;3JQm1fr3ZiHM8nDeq01va/Gk1leOFWRJCoK4cLriUsHlvJ/MQfiArLF2TAre5GGzHvysMNfuxUd6&#10;nkIpYgj7HBWYEJpcSl8YsugT1xBH7uZaiyHCtpS6xVcMt7WcpulMWqw4NhhsaGeoeJw6q+BsDv19&#10;PKbsgb+Ha2rnXTa9dUqNhv12CSJQH/7FX/efVrCIY+OX+APk+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vd2C+AAAA2wAAAA8AAAAAAAAAAAAAAAAAmAIAAGRycy9kb3ducmV2&#10;LnhtbFBLBQYAAAAABAAEAPUAAACDAwAAAAA=&#10;" strokeweight=".35281mm">
                        <v:textbox inset="0,0,0,0"/>
                      </v:rect>
                      <v:rect id="Rectangle 349" o:spid="_x0000_s1114" style="position:absolute;left:44551;top:7267;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L01MUA&#10;AADbAAAADwAAAGRycy9kb3ducmV2LnhtbESPQWvCQBSE7wX/w/IEb81GBdHUVURQehC1aSk9PrKv&#10;SWj27ZLdavTXu4LgcZiZb5j5sjONOFHra8sKhkkKgriwuuZSwdfn5nUKwgdkjY1lUnAhD8tF72WO&#10;mbZn/qBTHkoRIewzVFCF4DIpfVGRQZ9YRxy9X9saDFG2pdQtniPcNHKUphNpsOa4UKGjdUXFX/5v&#10;FByutMuPezv5GbltMR4fvncXt1Vq0O9WbyACdeEZfrTftYLZDO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vTUxQAAANsAAAAPAAAAAAAAAAAAAAAAAJgCAABkcnMv&#10;ZG93bnJldi54bWxQSwUGAAAAAAQABAD1AAAAigMAAAAA&#10;" strokeweight=".35281mm">
                        <v:textbox>
                          <w:txbxContent>
                            <w:p w:rsidR="00BF01D8" w:rsidRDefault="00CB4F73">
                              <w:pPr>
                                <w:jc w:val="center"/>
                              </w:pPr>
                              <w:r>
                                <w:t>H</w:t>
                              </w:r>
                            </w:p>
                          </w:txbxContent>
                        </v:textbox>
                      </v:rect>
                      <v:rect id="Rectangle 350" o:spid="_x0000_s1115" style="position:absolute;left:44551;top:10975;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L178YA&#10;AADcAAAADwAAAGRycy9kb3ducmV2LnhtbESPQWvCQBCF7wX/wzKCt7pRQUrqKiIoHqS2aSkeh+yY&#10;BLOzS3bV2F/fORR6m+G9ee+bxap3rbpRFxvPBibjDBRx6W3DlYGvz+3zC6iYkC22nsnAgyKsloOn&#10;BebW3/mDbkWqlIRwzNFAnVLItY5lTQ7j2Adi0c6+c5hk7SptO7xLuGv1NMvm2mHD0lBjoE1N5aW4&#10;OgPHHzoU729+fpqGXTmbHb8Pj7AzZjTs16+gEvXp3/x3vbeCnwm+PCMT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yL178YAAADcAAAADwAAAAAAAAAAAAAAAACYAgAAZHJz&#10;L2Rvd25yZXYueG1sUEsFBgAAAAAEAAQA9QAAAIsDAAAAAA==&#10;" strokeweight=".35281mm">
                        <v:textbox>
                          <w:txbxContent>
                            <w:p w:rsidR="00BF01D8" w:rsidRDefault="00CB4F73">
                              <w:pPr>
                                <w:jc w:val="center"/>
                              </w:pPr>
                              <w:r>
                                <w:t>M</w:t>
                              </w:r>
                            </w:p>
                          </w:txbxContent>
                        </v:textbox>
                      </v:rect>
                      <v:rect id="Rectangle 351" o:spid="_x0000_s1116" style="position:absolute;left:44551;top:14494;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5QdMQA&#10;AADcAAAADwAAAGRycy9kb3ducmV2LnhtbERPS2vCQBC+F/oflil4qxsNSEldpRQUD1LbVKTHITsm&#10;wezskl3z6K/vCkJv8/E9Z7keTCM6an1tWcFsmoAgLqyuuVRw/N48v4DwAVljY5kUjORhvXp8WGKm&#10;bc9f1OWhFDGEfYYKqhBcJqUvKjLop9YRR+5sW4MhwraUusU+hptGzpNkIQ3WHBsqdPReUXHJr0bB&#10;4Zf2+eeHXfzM3bZI08NpP7qtUpOn4e0VRKAh/Ivv7p2O85MZ3J6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uUHTEAAAA3AAAAA8AAAAAAAAAAAAAAAAAmAIAAGRycy9k&#10;b3ducmV2LnhtbFBLBQYAAAAABAAEAPUAAACJAwAAAAA=&#10;" strokeweight=".35281mm">
                        <v:textbox>
                          <w:txbxContent>
                            <w:p w:rsidR="00BF01D8" w:rsidRDefault="00CB4F73">
                              <w:pPr>
                                <w:jc w:val="center"/>
                              </w:pPr>
                              <w:r>
                                <w:t>L</w:t>
                              </w:r>
                            </w:p>
                          </w:txbxContent>
                        </v:textbox>
                      </v:rect>
                      <v:rect id="Rectangle 352" o:spid="_x0000_s1117" style="position:absolute;left:44551;top:18071;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zOA8IA&#10;AADcAAAADwAAAGRycy9kb3ducmV2LnhtbERPTYvCMBC9L+x/CLPgbU2tIEs1igiKB9Hd7iIeh2Zs&#10;i80kNFGrv34jCN7m8T5nMutMIy7U+tqygkE/AUFcWF1zqeDvd/n5BcIHZI2NZVJwIw+z6fvbBDNt&#10;r/xDlzyUIoawz1BBFYLLpPRFRQZ93zriyB1tazBE2JZSt3iN4aaRaZKMpMGaY0OFjhYVFaf8bBTs&#10;7rTJv7d2dEjdqhgOd/vNza2U6n108zGIQF14iZ/utY7zkxQez8QL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vM4DwgAAANwAAAAPAAAAAAAAAAAAAAAAAJgCAABkcnMvZG93&#10;bnJldi54bWxQSwUGAAAAAAQABAD1AAAAhwMAAAAA&#10;" strokeweight=".35281mm">
                        <v:textbox>
                          <w:txbxContent>
                            <w:p w:rsidR="00BF01D8" w:rsidRDefault="00CB4F73">
                              <w:pPr>
                                <w:jc w:val="center"/>
                              </w:pPr>
                              <w:r>
                                <w:t>N</w:t>
                              </w:r>
                            </w:p>
                          </w:txbxContent>
                        </v:textbox>
                      </v:rect>
                      <v:rect id="Rectangle 353" o:spid="_x0000_s1118" style="position:absolute;left:49030;top:7267;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mMMA&#10;AADcAAAADwAAAGRycy9kb3ducmV2LnhtbERPS4vCMBC+L/gfwgh7W9O1IFKNIguKB/HRXcTj0Ixt&#10;sZmEJqvVX28WFrzNx/ec6bwzjbhS62vLCj4HCQjiwuqaSwU/38uPMQgfkDU2lknBnTzMZ723KWba&#10;3vhA1zyUIoawz1BBFYLLpPRFRQb9wDriyJ1tazBE2JZSt3iL4aaRwyQZSYM1x4YKHX1VVFzyX6Ng&#10;96BNvt/a0WnoVkWa7o6bu1sp9d7vFhMQgbrwEv+71zrOT1L4eyZe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rmMMAAADcAAAADwAAAAAAAAAAAAAAAACYAgAAZHJzL2Rv&#10;d25yZXYueG1sUEsFBgAAAAAEAAQA9QAAAIgDAAAAAA==&#10;" strokeweight=".35281mm">
                        <v:textbox>
                          <w:txbxContent>
                            <w:p w:rsidR="00BF01D8" w:rsidRDefault="00CB4F73">
                              <w:pPr>
                                <w:jc w:val="center"/>
                              </w:pPr>
                              <w:r>
                                <w:t>H</w:t>
                              </w:r>
                            </w:p>
                          </w:txbxContent>
                        </v:textbox>
                      </v:rect>
                      <v:rect id="Rectangle 354" o:spid="_x0000_s1119" style="position:absolute;left:49030;top:10975;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z7MQA&#10;AADcAAAADwAAAGRycy9kb3ducmV2LnhtbERPTWvCQBC9C/0PyxS8NZtqkRJdgxQUD1LbtIjHITsm&#10;wezskl1N7K/vFgre5vE+Z5EPphVX6nxjWcFzkoIgLq1uuFLw/bV+egXhA7LG1jIpuJGHfPkwWmCm&#10;bc+fdC1CJWII+wwV1CG4TEpf1mTQJ9YRR+5kO4Mhwq6SusM+hptWTtJ0Jg02HBtqdPRWU3kuLkbB&#10;/od2xce7nR0nblNOp/vD7uY2So0fh9UcRKAh3MX/7q2O89MX+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Z8+zEAAAA3AAAAA8AAAAAAAAAAAAAAAAAmAIAAGRycy9k&#10;b3ducmV2LnhtbFBLBQYAAAAABAAEAPUAAACJAwAAAAA=&#10;" strokeweight=".35281mm">
                        <v:textbox>
                          <w:txbxContent>
                            <w:p w:rsidR="00BF01D8" w:rsidRDefault="00CB4F73">
                              <w:pPr>
                                <w:jc w:val="center"/>
                              </w:pPr>
                              <w:r>
                                <w:t>M</w:t>
                              </w:r>
                            </w:p>
                          </w:txbxContent>
                        </v:textbox>
                      </v:rect>
                      <v:rect id="Rectangle 355" o:spid="_x0000_s1120" style="position:absolute;left:49030;top:14494;width:4454;height:3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VWd8QA&#10;AADcAAAADwAAAGRycy9kb3ducmV2LnhtbERPTWvCQBC9C/0PyxS8NZsqlRJdgxQUD1LbtIjHITsm&#10;wezskl1N7K/vFgre5vE+Z5EPphVX6nxjWcFzkoIgLq1uuFLw/bV+egXhA7LG1jIpuJGHfPkwWmCm&#10;bc+fdC1CJWII+wwV1CG4TEpf1mTQJ9YRR+5kO4Mhwq6SusM+hptWTtJ0Jg02HBtqdPRWU3kuLkbB&#10;/od2xce7nR0nblNOp/vD7uY2So0fh9UcRKAh3MX/7q2O89MX+HsmX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VVnfEAAAA3AAAAA8AAAAAAAAAAAAAAAAAmAIAAGRycy9k&#10;b3ducmV2LnhtbFBLBQYAAAAABAAEAPUAAACJAwAAAAA=&#10;" strokeweight=".35281mm">
                        <v:textbox>
                          <w:txbxContent>
                            <w:p w:rsidR="00BF01D8" w:rsidRDefault="00CB4F73">
                              <w:pPr>
                                <w:jc w:val="center"/>
                              </w:pPr>
                              <w:r>
                                <w:t>L</w:t>
                              </w:r>
                            </w:p>
                          </w:txbxContent>
                        </v:textbox>
                      </v:rect>
                      <v:rect id="Rectangle 356" o:spid="_x0000_s1121" style="position:absolute;left:49030;top:18071;width:4454;height:36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fIAMQA&#10;AADcAAAADwAAAGRycy9kb3ducmV2LnhtbERPTWvCQBC9C/6HZYTezKYRQkldQykoHqS2UUqPQ3aa&#10;hGZnl+xWY399VxC8zeN9zrIcTS9ONPjOsoLHJAVBXFvdcaPgeFjPn0D4gKyxt0wKLuShXE0nSyy0&#10;PfMHnarQiBjCvkAFbQiukNLXLRn0iXXEkfu2g8EQ4dBIPeA5hpteZmmaS4Mdx4YWHb22VP9Uv0bB&#10;/o921fubzb8yt6kXi/3n7uI2Sj3MxpdnEIHGcBff3Fsd56c5XJ+JF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HyADEAAAA3AAAAA8AAAAAAAAAAAAAAAAAmAIAAGRycy9k&#10;b3ducmV2LnhtbFBLBQYAAAAABAAEAPUAAACJAwAAAAA=&#10;" strokeweight=".35281mm">
                        <v:textbox>
                          <w:txbxContent>
                            <w:p w:rsidR="00BF01D8" w:rsidRDefault="00CB4F73">
                              <w:pPr>
                                <w:jc w:val="center"/>
                              </w:pPr>
                              <w:r>
                                <w:t>N</w:t>
                              </w:r>
                            </w:p>
                          </w:txbxContent>
                        </v:textbox>
                      </v:rect>
                    </v:group>
                  </v:group>
                </v:group>
                <v:rect id="Rectangle 358" o:spid="_x0000_s1122" style="position:absolute;width:66751;height:49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FPtMIA&#10;AADcAAAADwAAAGRycy9kb3ducmV2LnhtbERPS2rDMBDdF3IHMYFuSiK5Cydxo4SQ4lDoqk4OMFhT&#10;2601Mpb86e2jQqG7ebzv7I+zbcVIvW8ca0jWCgRx6UzDlYbbNV9tQfiAbLB1TBp+yMPxsHjYY2bc&#10;xB80FqESMYR9hhrqELpMSl/WZNGvXUccuU/XWwwR9pU0PU4x3LbyWalUWmw4NtTY0bmm8rsYrIYv&#10;zi/bwMXrMO2S93ST3tInVlo/LufTC4hAc/gX/7nfTJyvNvD7TLxAH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U+0wgAAANwAAAAPAAAAAAAAAAAAAAAAAJgCAABkcnMvZG93&#10;bnJldi54bWxQSwUGAAAAAAQABAD1AAAAhwMAAAAA&#10;" filled="f" strokeweight=".70561mm">
                  <v:textbox inset="0,0,0,0"/>
                </v:rect>
              </v:group>
            </w:pict>
          </mc:Fallback>
        </mc:AlternateContent>
      </w:r>
    </w:p>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Pr>
        <w:pStyle w:val="BulletList1numbered"/>
        <w:numPr>
          <w:ilvl w:val="0"/>
          <w:numId w:val="0"/>
        </w:numPr>
        <w:ind w:left="360" w:hanging="360"/>
      </w:pPr>
    </w:p>
    <w:p w:rsidR="00BF01D8" w:rsidRDefault="00BF01D8">
      <w:pPr>
        <w:pStyle w:val="BulletList1numbered"/>
        <w:numPr>
          <w:ilvl w:val="0"/>
          <w:numId w:val="0"/>
        </w:numPr>
        <w:ind w:left="360" w:hanging="360"/>
      </w:pPr>
    </w:p>
    <w:p w:rsidR="00BF01D8" w:rsidRDefault="00BF01D8">
      <w:pPr>
        <w:pStyle w:val="BulletList1numbered"/>
        <w:numPr>
          <w:ilvl w:val="0"/>
          <w:numId w:val="0"/>
        </w:numPr>
        <w:ind w:left="360" w:hanging="360"/>
      </w:pPr>
    </w:p>
    <w:p w:rsidR="00BF01D8" w:rsidRDefault="00BF01D8">
      <w:pPr>
        <w:pStyle w:val="BulletList1numbered"/>
        <w:numPr>
          <w:ilvl w:val="0"/>
          <w:numId w:val="0"/>
        </w:numPr>
        <w:ind w:left="360" w:hanging="360"/>
      </w:pPr>
    </w:p>
    <w:p w:rsidR="00BF01D8" w:rsidRDefault="00CB4F73">
      <w:pPr>
        <w:pStyle w:val="FiguresChartsTitle"/>
      </w:pPr>
      <w:r>
        <w:t xml:space="preserve">Figure 1: How the different care domains are </w:t>
      </w:r>
      <w:r>
        <w:t>divided into levels of need.</w:t>
      </w:r>
    </w:p>
    <w:p w:rsidR="00BF01D8" w:rsidRDefault="00CB4F73">
      <w:pPr>
        <w:pStyle w:val="BulletList1numbered"/>
      </w:pPr>
      <w:r>
        <w:t>The descriptors in the DST are examples of the types of need that may be present. They should be carefully considered but may not always accurately describe every individual’s circumstances. The MDT should first determine and r</w:t>
      </w:r>
      <w:r>
        <w:t>ecord the extent and type of need in the space provided. If there is difficulty in placing the individual's needs in one or other of the levels, the MDT should use professional judgement based on consideration of all the evidence to decide the most appropr</w:t>
      </w:r>
      <w:r>
        <w:t>iate level. If, after considering all the relevant evidence, it proves difficult to decide or agree on the level, the MDT should choose the higher of the levels under consideration and record the evidence in relation to both the decision and any significan</w:t>
      </w:r>
      <w:r>
        <w:t xml:space="preserve">t differences of opinion. The MDT should not record an individual as having needs between levels. It is important that differences of opinion on the appropriate level are based on the evidence available and not on generalised assumptions about the effects </w:t>
      </w:r>
      <w:r>
        <w:t>of a particular condition or assumptions about the individual's needs.</w:t>
      </w:r>
    </w:p>
    <w:p w:rsidR="00BF01D8" w:rsidRDefault="00CB4F73">
      <w:pPr>
        <w:pStyle w:val="BulletList1numbered"/>
      </w:pPr>
      <w:r>
        <w:t xml:space="preserve">Care should be taken regarding terminology. The fact that an individual has a condition that is described as ‘severe’ does not necessarily mean that they should be placed on the </w:t>
      </w:r>
      <w:r>
        <w:lastRenderedPageBreak/>
        <w:t>‘severe</w:t>
      </w:r>
      <w:r>
        <w:t>’ level of a particular domain. It is the domain level descriptor that most closely fits their needs and the support they require that should be selected (for example, the fact that a an individual is described as having ‘severe’ learning disabilities does</w:t>
      </w:r>
      <w:r>
        <w:t xml:space="preserve"> not automatically mean that they should be placed on the ‘severe’ level of the Cognition domain, similarly an individual considered as having a high risk of falling might or might not fit the high level in the mobility domain).</w:t>
      </w:r>
    </w:p>
    <w:p w:rsidR="00BF01D8" w:rsidRDefault="00CB4F73">
      <w:pPr>
        <w:pStyle w:val="BulletList1numbered"/>
      </w:pPr>
      <w:r>
        <w:t>The Fast Track Pathway Tool</w:t>
      </w:r>
      <w:r>
        <w:t xml:space="preserve"> (rather than DST) should always be used for any individual with a rapidly deteriorating condition that may be entering a terminal phase. For other individuals who have a more slowly deteriorating condition and for whom it can reasonably be anticipated tha</w:t>
      </w:r>
      <w:r>
        <w:t>t their needs are therefore likely to increase in the near future, the domain levels selected should be based on current needs but the likely change in needs should be recorded in the evidence box for that domain and taken into account in the recommendatio</w:t>
      </w:r>
      <w:r>
        <w:t>n made. This could mean that a decision is made that they should be eligible for NHS Continuing Healthcare immediately (i.e. before the deterioration has actually taken place) or, if not, that a date is given for an early review.</w:t>
      </w:r>
    </w:p>
    <w:p w:rsidR="00BF01D8" w:rsidRDefault="00CB4F73">
      <w:pPr>
        <w:pStyle w:val="BulletList1numbered"/>
      </w:pPr>
      <w:r>
        <w:t>It should be remembered th</w:t>
      </w:r>
      <w:r>
        <w:t xml:space="preserve">at the DST is a record of needs and a single condition might give rise to separate needs in a number of domains.  For example an individual with cognitive impairment will have a weighting in the cognition domain and as a result may have associate needs in </w:t>
      </w:r>
      <w:r>
        <w:t xml:space="preserve">other domains, all of which should be recorded and weighted in their own right (refer to Practice Guidance note 30).  </w:t>
      </w:r>
    </w:p>
    <w:p w:rsidR="00BF01D8" w:rsidRDefault="00CB4F73">
      <w:pPr>
        <w:pStyle w:val="BulletList1numbered"/>
      </w:pPr>
      <w:r>
        <w:t>Some domains include levels of need that are so great that they could reach the ‘priority’ level (which would indicate a primary health n</w:t>
      </w:r>
      <w:r>
        <w:t xml:space="preserve">eed), but others do not.  This is because the needs in some care domains are considered never to reach a level at which they on their own should trigger eligibility; rather they would form part of a range of needs which together could constitute a primary </w:t>
      </w:r>
      <w:r>
        <w:t>health need.</w:t>
      </w:r>
    </w:p>
    <w:p w:rsidR="00BF01D8" w:rsidRDefault="00CB4F73">
      <w:pPr>
        <w:pStyle w:val="BulletList1numbered"/>
      </w:pPr>
      <w:r>
        <w:t>Within each domain there is space to justify why a particular level is appropriate, based on the available evidence about the assessed needs. It is important that needs are described in measurable terms, using clinical expertise, and supported</w:t>
      </w:r>
      <w:r>
        <w:t xml:space="preserve"> with the results from appropriate and validated assessment tools where relevant. </w:t>
      </w:r>
    </w:p>
    <w:p w:rsidR="00BF01D8" w:rsidRDefault="00CB4F73">
      <w:pPr>
        <w:pStyle w:val="BulletList1numbered"/>
      </w:pPr>
      <w:r>
        <w:t>Needs should not be marginalised just because they are successfully managed. Well-managed needs are still needs. Only where the successful management of a healthcare need ha</w:t>
      </w:r>
      <w:r>
        <w:t>s permanently reduced or removed an ongoing need, such that the active management of this need is reduced or no longer required will this have a bearing on NHS Continuing Healthcare eligibility. This principle is incorporated into the domain descriptors of</w:t>
      </w:r>
      <w:r>
        <w:t xml:space="preserve"> the DST. For example, in the behaviour domain the level of support and skill required to manage risks associated with challenging behaviour helps determine the domain weighting. In such cases the care plan (including psychological or similar interventions</w:t>
      </w:r>
      <w:r>
        <w:t>) should provide the evidence of the level of need, recognising that this care plan may be successfully avoiding or reducing incidents of challenging behaviour  (refer to paragraphs 142-146 of the National Framework and Practice Guidance note 23). For exam</w:t>
      </w:r>
      <w:r>
        <w:t xml:space="preserve">ple, where psychological or similar interventions are successfully addressing behavioural issues, consideration should </w:t>
      </w:r>
      <w:r>
        <w:lastRenderedPageBreak/>
        <w:t>be given as to the present-day need if that support were withdrawn or no longer available and this should be reflected in the Behaviour d</w:t>
      </w:r>
      <w:r>
        <w:t>omain.</w:t>
      </w:r>
    </w:p>
    <w:p w:rsidR="00BF01D8" w:rsidRDefault="00CB4F73">
      <w:pPr>
        <w:pStyle w:val="BulletList1numbered"/>
      </w:pPr>
      <w:r>
        <w:t xml:space="preserve">It is not intended that this principle should be applied in such a way that well-controlled health conditions should be recorded as if medication or other routine care or support was not present. For example, where needs are being managed via </w:t>
      </w:r>
      <w:r>
        <w:t>medication (whether for behaviour or for physical health needs), it may be more appropriate to reflect this in the Drug Therapies and Medication domain. Similarly, where an individual's skin condition is not aggravated by their incontinence because they ar</w:t>
      </w:r>
      <w:r>
        <w:t>e receiving good continence care, it would not be appropriate to weight the skin domain as if the continence care was not being provided (refer to paragraphs 142-146 of the National Framework).</w:t>
      </w:r>
    </w:p>
    <w:p w:rsidR="00BF01D8" w:rsidRDefault="00CB4F73">
      <w:pPr>
        <w:pStyle w:val="BulletList1numbered"/>
      </w:pPr>
      <w:r>
        <w:t>There may be circumstances where an individual may have partic</w:t>
      </w:r>
      <w:r>
        <w:t>ular needs that are not covered by the first 11 defined care domains within the DST. In this situation, it is the responsibility of the assessors to determine and record the extent and type of the needs in the “additional” 12th domain provided entitled ‘Ot</w:t>
      </w:r>
      <w:r>
        <w:t>her Significant Care Needs’ and take this into account when determining whether an individual has a primary health need. The severity of the need should be weighted in a similar way (i.e. from 'Low' to 'Severe') to the other domains using professional judg</w:t>
      </w:r>
      <w:r>
        <w:t>ement and then taken into account when determining whether an individual has a primary health need.  It is important that the agreed level is consistent with the levels set out in the other domains.  The availability of this domain should not be used to in</w:t>
      </w:r>
      <w:r>
        <w:t>appropriately affect the overall decision on eligibility.</w:t>
      </w:r>
    </w:p>
    <w:p w:rsidR="00BF01D8" w:rsidRDefault="00CB4F73">
      <w:pPr>
        <w:pStyle w:val="Heading2"/>
      </w:pPr>
      <w:bookmarkStart w:id="6" w:name="_Toc453161150"/>
      <w:r>
        <w:t>How should the DST be used to help to identify a Primary Health Need</w:t>
      </w:r>
      <w:bookmarkEnd w:id="6"/>
      <w:r>
        <w:t>?</w:t>
      </w:r>
    </w:p>
    <w:p w:rsidR="00BF01D8" w:rsidRDefault="00CB4F73">
      <w:pPr>
        <w:pStyle w:val="BulletList1numbered"/>
      </w:pPr>
      <w:r>
        <w:t>MDTs are required to make a recommendation as to whether the individual has a primary health need, and is therefore eligible for</w:t>
      </w:r>
      <w:r>
        <w:t xml:space="preserve"> NHS Continuing Healthcare. This should take into account the range and levels of need recorded in the DST and include consideration of the nature, intensity, complexity and/or unpredictability of the individual’s needs. Each of these characteristics may, </w:t>
      </w:r>
      <w:r>
        <w:t>in combination or alone, demonstrate a primary health need, because of the quality and/or quantity of care required to meet the individual’s needs.</w:t>
      </w:r>
    </w:p>
    <w:p w:rsidR="00BF01D8" w:rsidRDefault="00CB4F73">
      <w:pPr>
        <w:pStyle w:val="BulletList1numbered"/>
      </w:pPr>
      <w:r>
        <w:t>At the end of the DST, there is a summary sheet to provide an overview of the levels chosen and a summary of</w:t>
      </w:r>
      <w:r>
        <w:t xml:space="preserve"> the individual’s needs, along with the MDT’s recommendation about eligibility or ineligibility. A clear recommendation (and decision) of eligibility for NHS Continuing Healthcare would usually be expected in each of the following cases:</w:t>
      </w:r>
    </w:p>
    <w:p w:rsidR="00BF01D8" w:rsidRDefault="00CB4F73">
      <w:pPr>
        <w:pStyle w:val="BulletList3"/>
        <w:numPr>
          <w:ilvl w:val="2"/>
          <w:numId w:val="1"/>
        </w:numPr>
      </w:pPr>
      <w:r>
        <w:t xml:space="preserve">A level of </w:t>
      </w:r>
      <w:r>
        <w:rPr>
          <w:rStyle w:val="DHGreen"/>
        </w:rPr>
        <w:t>priorit</w:t>
      </w:r>
      <w:r>
        <w:rPr>
          <w:rStyle w:val="DHGreen"/>
        </w:rPr>
        <w:t xml:space="preserve">y </w:t>
      </w:r>
      <w:r>
        <w:t>needs in any one of the four domains that carry this level.</w:t>
      </w:r>
    </w:p>
    <w:p w:rsidR="00BF01D8" w:rsidRDefault="00CB4F73">
      <w:pPr>
        <w:pStyle w:val="BulletList3"/>
        <w:numPr>
          <w:ilvl w:val="2"/>
          <w:numId w:val="1"/>
        </w:numPr>
      </w:pPr>
      <w:r>
        <w:t xml:space="preserve">A total of two or more incidences of identified </w:t>
      </w:r>
      <w:r>
        <w:rPr>
          <w:rStyle w:val="DHGreen"/>
        </w:rPr>
        <w:t>severe</w:t>
      </w:r>
      <w:r>
        <w:t xml:space="preserve"> needs across all care domains.</w:t>
      </w:r>
    </w:p>
    <w:p w:rsidR="00BF01D8" w:rsidRDefault="00CB4F73">
      <w:r>
        <w:t xml:space="preserve">38. Where there is either </w:t>
      </w:r>
    </w:p>
    <w:p w:rsidR="00BF01D8" w:rsidRDefault="00CB4F73">
      <w:pPr>
        <w:pStyle w:val="BulletList3"/>
        <w:numPr>
          <w:ilvl w:val="2"/>
          <w:numId w:val="1"/>
        </w:numPr>
      </w:pPr>
      <w:r>
        <w:t xml:space="preserve">A severe level need combined with needs in a number of other domains or </w:t>
      </w:r>
    </w:p>
    <w:p w:rsidR="00BF01D8" w:rsidRDefault="00CB4F73">
      <w:pPr>
        <w:pStyle w:val="BulletList3"/>
        <w:numPr>
          <w:ilvl w:val="2"/>
          <w:numId w:val="1"/>
        </w:numPr>
      </w:pPr>
      <w:r>
        <w:t>A number</w:t>
      </w:r>
      <w:r>
        <w:t xml:space="preserve"> of domains with high and/or moderate needs</w:t>
      </w:r>
    </w:p>
    <w:p w:rsidR="00BF01D8" w:rsidRDefault="00CB4F73">
      <w:pPr>
        <w:pStyle w:val="BulletList1numbered"/>
        <w:numPr>
          <w:ilvl w:val="0"/>
          <w:numId w:val="0"/>
        </w:numPr>
        <w:ind w:left="360" w:hanging="360"/>
      </w:pPr>
      <w:r>
        <w:t>then careful consideration must be given to the four key characteristics of nature, intensity, complexity or unpredictability of the individual's needs. This consideration must be used to inform the decision as t</w:t>
      </w:r>
      <w:r>
        <w:t>o whether or not the individual has a primary health need and therefore whether or not they are eligible for NHS Continuing Healthcare. </w:t>
      </w:r>
    </w:p>
    <w:p w:rsidR="00BF01D8" w:rsidRDefault="00CB4F73">
      <w:pPr>
        <w:pStyle w:val="BulletList1numbered"/>
      </w:pPr>
      <w:r>
        <w:lastRenderedPageBreak/>
        <w:t>In all cases, the overall need, the interactions between needs in different care domains, and the evidence from risk as</w:t>
      </w:r>
      <w:r>
        <w:t>sessments should be taken into account in determining whether a recommendation of eligibility for NHS Continuing Healthcare should be made. It is not possible to equate a number of incidences of one level with a number of incidences of another level, as in</w:t>
      </w:r>
      <w:r>
        <w:t>, for example ‘two moderates equals one high’. The judgement whether an individual has a primary health need must be based on what the evidence indicates about the nature and/or complexity and/or intensity and/or unpredictability of the individual’s needs.</w:t>
      </w:r>
      <w:r>
        <w:t xml:space="preserve"> </w:t>
      </w:r>
    </w:p>
    <w:p w:rsidR="00BF01D8" w:rsidRDefault="00CB4F73">
      <w:pPr>
        <w:pStyle w:val="BulletList1numbered"/>
      </w:pPr>
      <w:r>
        <w:t xml:space="preserve">The recommendation should: </w:t>
      </w:r>
    </w:p>
    <w:p w:rsidR="00BF01D8" w:rsidRDefault="00CB4F73">
      <w:pPr>
        <w:pStyle w:val="BulletList2"/>
        <w:numPr>
          <w:ilvl w:val="1"/>
          <w:numId w:val="1"/>
        </w:numPr>
      </w:pPr>
      <w:r>
        <w:t xml:space="preserve">provide a summary of the individual’s needs in the light of the identified domain levels and the information underlying these. This should include the individual’s own view of their needs. </w:t>
      </w:r>
    </w:p>
    <w:p w:rsidR="00BF01D8" w:rsidRDefault="00CB4F73">
      <w:pPr>
        <w:pStyle w:val="BulletList2"/>
        <w:numPr>
          <w:ilvl w:val="1"/>
          <w:numId w:val="1"/>
        </w:numPr>
      </w:pPr>
      <w:r>
        <w:t>provide statements about the nature,</w:t>
      </w:r>
      <w:r>
        <w:t xml:space="preserve"> intensity, complexity and unpredictability of the individual’s needs, bearing in mind the explanation of these characteristics provided in paragraphs (refer to paragraphs 58-66 of the National Framework) of the National Framework. </w:t>
      </w:r>
    </w:p>
    <w:p w:rsidR="00BF01D8" w:rsidRDefault="00CB4F73">
      <w:pPr>
        <w:pStyle w:val="BulletList2"/>
        <w:numPr>
          <w:ilvl w:val="1"/>
          <w:numId w:val="1"/>
        </w:numPr>
      </w:pPr>
      <w:r>
        <w:t xml:space="preserve">give an explanation of </w:t>
      </w:r>
      <w:r>
        <w:t xml:space="preserve">how the needs in any one domain may interrelate with another to create additional complexity, intensity or unpredictability. </w:t>
      </w:r>
    </w:p>
    <w:p w:rsidR="00BF01D8" w:rsidRDefault="00CB4F73">
      <w:pPr>
        <w:pStyle w:val="BulletList2"/>
        <w:numPr>
          <w:ilvl w:val="1"/>
          <w:numId w:val="1"/>
        </w:numPr>
      </w:pPr>
      <w:r>
        <w:rPr>
          <w:rFonts w:eastAsia="Calibri"/>
        </w:rPr>
        <w:t>in the light of the above, give a recommendation as to whether or not the individual</w:t>
      </w:r>
      <w:r>
        <w:t xml:space="preserve"> has a primary health need (with reference to </w:t>
      </w:r>
      <w:r>
        <w:t>paragraphs (refer to paragraphs 58-66 of the National Framework)  of the National Framework). It should be remembered that, whilst the recommendation should make reference to all four characteristics of nature, intensity, complexity and unpredictability, a</w:t>
      </w:r>
      <w:r>
        <w:t>ny one of these could on their own or in combination with others be sufficient to indicate a primary health need.</w:t>
      </w:r>
    </w:p>
    <w:p w:rsidR="00BF01D8" w:rsidRDefault="00CB4F73">
      <w:pPr>
        <w:pStyle w:val="Heading2"/>
      </w:pPr>
      <w:r>
        <w:t>What happens after the DST has been completed?</w:t>
      </w:r>
    </w:p>
    <w:p w:rsidR="00BF01D8" w:rsidRDefault="00CB4F73">
      <w:pPr>
        <w:pStyle w:val="BulletList1numbered"/>
      </w:pPr>
      <w:r>
        <w:t xml:space="preserve">The coordinator should ensure that all parts of the DST have been completed, including the </w:t>
      </w:r>
      <w:r>
        <w:t>MDT’s recommendation on eligibility (agreed/signed by MDT members), and forward it to the CCG for decision making. The coordinator should also advise the individual of the timescales for decision making (i.e. normally within 28 calendar days). In doing thi</w:t>
      </w:r>
      <w:r>
        <w:t xml:space="preserve">s, they should also check whether there is a need for urgent and/or interim support and liaise with the CCG and local authority to ensure that this is put in place where appropriate. </w:t>
      </w:r>
    </w:p>
    <w:p w:rsidR="00BF01D8" w:rsidRDefault="00CB4F73">
      <w:pPr>
        <w:pStyle w:val="BulletList1numbered"/>
      </w:pPr>
      <w:r>
        <w:t xml:space="preserve">The equality monitoring data form should be completed by the individual </w:t>
      </w:r>
      <w:r>
        <w:t>who is the subject of the DST, but not if one has already been completed when screening with a Checklist and only if the individual agrees to this. Where the individual needs support to complete the form, this should be arranged by the CCG co-ordinator. Th</w:t>
      </w:r>
      <w:r>
        <w:t xml:space="preserve">e equality monitoring form should be forwarded to the appropriate location, in accordance with the relevant CCG’s processes for processing equality data. </w:t>
      </w:r>
    </w:p>
    <w:p w:rsidR="00BF01D8" w:rsidRDefault="00CB4F73">
      <w:pPr>
        <w:pStyle w:val="BulletList1numbered"/>
      </w:pPr>
      <w:r>
        <w:t>A copy of the completed DST (including the recommendation) should be forwarded to the individual (or,</w:t>
      </w:r>
      <w:r>
        <w:t xml:space="preserve"> where appropriate, their representative) together with the final decision made by the CCG, along with the reasons for this decision. If someone is acting as the individual's representative they are entitled to receive a copy of the DST provided that the c</w:t>
      </w:r>
      <w:r>
        <w:t>orrect basis for sharing such information has been established. This basis could be any one of the following:</w:t>
      </w:r>
    </w:p>
    <w:p w:rsidR="00BF01D8" w:rsidRDefault="00CB4F73">
      <w:pPr>
        <w:pStyle w:val="ListParagraph"/>
      </w:pPr>
      <w:r>
        <w:t>a) consent from the individual concerned (where they have capacity to give this).</w:t>
      </w:r>
    </w:p>
    <w:p w:rsidR="00BF01D8" w:rsidRDefault="00BF01D8">
      <w:pPr>
        <w:pStyle w:val="ListParagraph"/>
      </w:pPr>
    </w:p>
    <w:p w:rsidR="00BF01D8" w:rsidRDefault="00CB4F73">
      <w:pPr>
        <w:pStyle w:val="ListParagraph"/>
      </w:pPr>
      <w:r>
        <w:t>b) consent from a court appointed deputy (health and welfare) o</w:t>
      </w:r>
      <w:r>
        <w:t>r someone who holds Lasting Power of Attorney (health and welfare) for that individual.</w:t>
      </w:r>
    </w:p>
    <w:p w:rsidR="00BF01D8" w:rsidRDefault="00BF01D8">
      <w:pPr>
        <w:pStyle w:val="ListParagraph"/>
      </w:pPr>
    </w:p>
    <w:p w:rsidR="00BF01D8" w:rsidRDefault="00CB4F73">
      <w:pPr>
        <w:pStyle w:val="ListParagraph"/>
      </w:pPr>
      <w:r>
        <w:t>c) a "best interest" decision to share information made under the Mental Capacity Act         (where the individual lacks capacity to consent to the sharing of informa</w:t>
      </w:r>
      <w:r>
        <w:t>tion).</w:t>
      </w:r>
    </w:p>
    <w:p w:rsidR="00BF01D8" w:rsidRDefault="00CB4F73">
      <w:pPr>
        <w:pStyle w:val="BulletList1numbered"/>
      </w:pPr>
      <w:r>
        <w:t xml:space="preserve">Where an individual lacks capacity but has an appointed Lasting Power of Attorney (property and finance), information (including a copy of the completed DST) should be shared in order for them to carry out their LPA duties, unless there are </w:t>
      </w:r>
      <w:r>
        <w:t xml:space="preserve">compelling and lawful reasons why this should not happen. If there is doubt in such cases advice should be sought. </w:t>
      </w:r>
    </w:p>
    <w:p w:rsidR="00BF01D8" w:rsidRDefault="00BF01D8">
      <w:pPr>
        <w:pStyle w:val="BulletList1numbered"/>
        <w:numPr>
          <w:ilvl w:val="0"/>
          <w:numId w:val="0"/>
        </w:numPr>
        <w:ind w:left="360" w:hanging="360"/>
      </w:pPr>
    </w:p>
    <w:p w:rsidR="00BF01D8" w:rsidRDefault="00BF01D8">
      <w:pPr>
        <w:pStyle w:val="BulletList1numbered"/>
        <w:numPr>
          <w:ilvl w:val="0"/>
          <w:numId w:val="0"/>
        </w:numPr>
        <w:ind w:left="360" w:hanging="360"/>
      </w:pPr>
    </w:p>
    <w:p w:rsidR="00BF01D8" w:rsidRDefault="00BF01D8">
      <w:pPr>
        <w:pStyle w:val="BulletList1numbered"/>
        <w:numPr>
          <w:ilvl w:val="0"/>
          <w:numId w:val="0"/>
        </w:numPr>
        <w:ind w:left="360" w:hanging="360"/>
      </w:pPr>
    </w:p>
    <w:p w:rsidR="00BF01D8" w:rsidRDefault="00BF01D8">
      <w:pPr>
        <w:pStyle w:val="BulletList1numbered"/>
        <w:numPr>
          <w:ilvl w:val="0"/>
          <w:numId w:val="0"/>
        </w:numPr>
        <w:ind w:left="360" w:hanging="360"/>
      </w:pPr>
    </w:p>
    <w:p w:rsidR="00BF01D8" w:rsidRDefault="00BF01D8">
      <w:pPr>
        <w:pStyle w:val="BulletList1numbered"/>
        <w:numPr>
          <w:ilvl w:val="0"/>
          <w:numId w:val="0"/>
        </w:numPr>
        <w:ind w:left="360" w:hanging="360"/>
      </w:pPr>
    </w:p>
    <w:p w:rsidR="00BF01D8" w:rsidRDefault="00BF01D8">
      <w:pPr>
        <w:pStyle w:val="BulletList1numbered"/>
        <w:numPr>
          <w:ilvl w:val="0"/>
          <w:numId w:val="0"/>
        </w:numPr>
        <w:ind w:left="360" w:hanging="360"/>
      </w:pPr>
    </w:p>
    <w:p w:rsidR="00BF01D8" w:rsidRDefault="00BF01D8">
      <w:pPr>
        <w:pStyle w:val="BulletList1numbered"/>
        <w:numPr>
          <w:ilvl w:val="0"/>
          <w:numId w:val="0"/>
        </w:numPr>
        <w:ind w:left="360" w:hanging="360"/>
      </w:pPr>
    </w:p>
    <w:p w:rsidR="00BF01D8" w:rsidRDefault="00BF01D8">
      <w:pPr>
        <w:pStyle w:val="BulletList1numbered"/>
        <w:numPr>
          <w:ilvl w:val="0"/>
          <w:numId w:val="0"/>
        </w:numPr>
        <w:ind w:left="360" w:hanging="360"/>
      </w:pPr>
    </w:p>
    <w:p w:rsidR="00BF01D8" w:rsidRDefault="00BF01D8">
      <w:pPr>
        <w:pStyle w:val="BulletList1numbered"/>
        <w:numPr>
          <w:ilvl w:val="0"/>
          <w:numId w:val="0"/>
        </w:numPr>
        <w:ind w:left="360" w:hanging="360"/>
      </w:pPr>
    </w:p>
    <w:p w:rsidR="00BF01D8" w:rsidRDefault="00BF01D8">
      <w:pPr>
        <w:pStyle w:val="BulletList1numbered"/>
        <w:numPr>
          <w:ilvl w:val="0"/>
          <w:numId w:val="0"/>
        </w:numPr>
        <w:ind w:left="360" w:hanging="360"/>
      </w:pPr>
    </w:p>
    <w:p w:rsidR="00BF01D8" w:rsidRDefault="00BF01D8">
      <w:pPr>
        <w:pStyle w:val="Heading2"/>
        <w:rPr>
          <w:b w:val="0"/>
          <w:color w:val="auto"/>
          <w:sz w:val="24"/>
        </w:rPr>
      </w:pPr>
    </w:p>
    <w:p w:rsidR="00BF01D8" w:rsidRDefault="00BF01D8">
      <w:pPr>
        <w:pStyle w:val="Heading2"/>
        <w:rPr>
          <w:b w:val="0"/>
          <w:color w:val="auto"/>
          <w:sz w:val="24"/>
        </w:rPr>
      </w:pPr>
    </w:p>
    <w:p w:rsidR="00BF01D8" w:rsidRDefault="00BF01D8">
      <w:pPr>
        <w:pStyle w:val="Heading2"/>
        <w:rPr>
          <w:b w:val="0"/>
          <w:color w:val="auto"/>
          <w:sz w:val="24"/>
        </w:rPr>
      </w:pPr>
    </w:p>
    <w:p w:rsidR="00BF01D8" w:rsidRDefault="00BF01D8">
      <w:pPr>
        <w:pStyle w:val="Heading2"/>
        <w:rPr>
          <w:b w:val="0"/>
          <w:color w:val="auto"/>
          <w:sz w:val="24"/>
        </w:rPr>
      </w:pPr>
    </w:p>
    <w:p w:rsidR="00BF01D8" w:rsidRDefault="00BF01D8">
      <w:pPr>
        <w:pStyle w:val="Heading2"/>
        <w:rPr>
          <w:b w:val="0"/>
          <w:color w:val="auto"/>
          <w:sz w:val="24"/>
        </w:rPr>
      </w:pPr>
    </w:p>
    <w:p w:rsidR="00BF01D8" w:rsidRDefault="00BF01D8">
      <w:pPr>
        <w:pStyle w:val="Heading2"/>
        <w:rPr>
          <w:b w:val="0"/>
          <w:color w:val="auto"/>
          <w:sz w:val="24"/>
        </w:rPr>
      </w:pPr>
    </w:p>
    <w:p w:rsidR="00BF01D8" w:rsidRDefault="00BF01D8">
      <w:pPr>
        <w:pStyle w:val="Heading2"/>
        <w:rPr>
          <w:b w:val="0"/>
          <w:color w:val="auto"/>
          <w:sz w:val="24"/>
        </w:rPr>
      </w:pPr>
    </w:p>
    <w:p w:rsidR="00BF01D8" w:rsidRDefault="00BF01D8">
      <w:pPr>
        <w:pStyle w:val="Heading2"/>
        <w:rPr>
          <w:b w:val="0"/>
          <w:color w:val="auto"/>
          <w:sz w:val="24"/>
        </w:rPr>
      </w:pPr>
    </w:p>
    <w:p w:rsidR="00BF01D8" w:rsidRDefault="00BF01D8">
      <w:pPr>
        <w:pStyle w:val="Heading2"/>
        <w:rPr>
          <w:b w:val="0"/>
          <w:color w:val="auto"/>
          <w:sz w:val="24"/>
        </w:rPr>
      </w:pPr>
    </w:p>
    <w:p w:rsidR="00BF01D8" w:rsidRDefault="00BF01D8">
      <w:pPr>
        <w:pStyle w:val="Heading2"/>
      </w:pPr>
    </w:p>
    <w:p w:rsidR="00BF01D8" w:rsidRDefault="00BF01D8">
      <w:pPr>
        <w:pStyle w:val="Heading2"/>
      </w:pPr>
    </w:p>
    <w:p w:rsidR="00BF01D8" w:rsidRDefault="00CB4F73">
      <w:pPr>
        <w:pStyle w:val="Heading2"/>
      </w:pPr>
      <w:r>
        <w:lastRenderedPageBreak/>
        <w:t>Decision Support Tool for NHS Continuing Healthcare</w:t>
      </w:r>
      <w:r>
        <w:br/>
      </w:r>
      <w:r>
        <w:t>Section 1 – Personal Details</w:t>
      </w:r>
    </w:p>
    <w:p w:rsidR="00BF01D8" w:rsidRDefault="00CB4F73">
      <w:r>
        <w:rPr>
          <w:rStyle w:val="Bold"/>
        </w:rPr>
        <w:t>Was this DST completed whilst the indi</w:t>
      </w:r>
      <w:r>
        <w:rPr>
          <w:rStyle w:val="Bold"/>
        </w:rPr>
        <w:t xml:space="preserve">vidual was in an acute hospital?    Yes □     No □  </w:t>
      </w:r>
    </w:p>
    <w:p w:rsidR="00BF01D8" w:rsidRDefault="00CB4F73">
      <w:r>
        <w:rPr>
          <w:rStyle w:val="Bold"/>
        </w:rPr>
        <w:t>Date of completion of Decision Support Tool _____________________________</w:t>
      </w:r>
    </w:p>
    <w:p w:rsidR="00BF01D8" w:rsidRDefault="00CB4F73">
      <w:r>
        <w:rPr>
          <w:rStyle w:val="Bold"/>
          <w:noProof/>
        </w:rPr>
        <mc:AlternateContent>
          <mc:Choice Requires="wps">
            <w:drawing>
              <wp:anchor distT="0" distB="0" distL="114300" distR="114300" simplePos="0" relativeHeight="251661312" behindDoc="0" locked="0" layoutInCell="1" allowOverlap="1">
                <wp:simplePos x="0" y="0"/>
                <wp:positionH relativeFrom="column">
                  <wp:posOffset>501603</wp:posOffset>
                </wp:positionH>
                <wp:positionV relativeFrom="paragraph">
                  <wp:posOffset>170508</wp:posOffset>
                </wp:positionV>
                <wp:extent cx="2668274" cy="518163"/>
                <wp:effectExtent l="0" t="0" r="17776" b="15237"/>
                <wp:wrapNone/>
                <wp:docPr id="108" name="Text Box 16" descr="Name text box"/>
                <wp:cNvGraphicFramePr/>
                <a:graphic xmlns:a="http://schemas.openxmlformats.org/drawingml/2006/main">
                  <a:graphicData uri="http://schemas.microsoft.com/office/word/2010/wordprocessingShape">
                    <wps:wsp>
                      <wps:cNvSpPr txBox="1"/>
                      <wps:spPr>
                        <a:xfrm>
                          <a:off x="0" y="0"/>
                          <a:ext cx="2668274" cy="518163"/>
                        </a:xfrm>
                        <a:prstGeom prst="rect">
                          <a:avLst/>
                        </a:prstGeom>
                        <a:solidFill>
                          <a:srgbClr val="FFFFFF"/>
                        </a:solidFill>
                        <a:ln w="6345">
                          <a:solidFill>
                            <a:srgbClr val="000000"/>
                          </a:solidFill>
                          <a:prstDash val="solid"/>
                        </a:ln>
                      </wps:spPr>
                      <wps:txbx>
                        <w:txbxContent>
                          <w:p w:rsidR="00BF01D8" w:rsidRDefault="00BF01D8"/>
                        </w:txbxContent>
                      </wps:txbx>
                      <wps:bodyPr vert="horz" wrap="square" lIns="94612" tIns="48892" rIns="94612" bIns="48892" anchor="t" anchorCtr="0" compatLnSpc="0"/>
                    </wps:wsp>
                  </a:graphicData>
                </a:graphic>
              </wp:anchor>
            </w:drawing>
          </mc:Choice>
          <mc:Fallback>
            <w:pict>
              <v:shape id="Text Box 16" o:spid="_x0000_s1123" type="#_x0000_t202" alt="Name text box" style="position:absolute;margin-left:39.5pt;margin-top:13.45pt;width:210.1pt;height:40.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" strokeweight=".17625mm">
                <v:textbox inset="2.62811mm,1.3581mm,2.62811mm,1.3581mm">
                  <w:txbxContent>
                    <w:p w:rsidR="00BF01D8" w:rsidRDefault="00BF01D8"/>
                  </w:txbxContent>
                </v:textbox>
              </v:shape>
            </w:pict>
          </mc:Fallback>
        </mc:AlternateContent>
      </w:r>
      <w:r>
        <w:rPr>
          <w:rStyle w:val="Bold"/>
          <w:noProof/>
        </w:rPr>
        <mc:AlternateContent>
          <mc:Choice Requires="wps">
            <w:drawing>
              <wp:anchor distT="0" distB="0" distL="114300" distR="114300" simplePos="0" relativeHeight="251662336" behindDoc="0" locked="0" layoutInCell="1" allowOverlap="1">
                <wp:simplePos x="0" y="0"/>
                <wp:positionH relativeFrom="column">
                  <wp:posOffset>3839849</wp:posOffset>
                </wp:positionH>
                <wp:positionV relativeFrom="paragraph">
                  <wp:posOffset>170005</wp:posOffset>
                </wp:positionV>
                <wp:extent cx="2242822" cy="518163"/>
                <wp:effectExtent l="0" t="0" r="24128" b="15237"/>
                <wp:wrapNone/>
                <wp:docPr id="109" name="Text Box 15" descr="Date of birth text box"/>
                <wp:cNvGraphicFramePr/>
                <a:graphic xmlns:a="http://schemas.openxmlformats.org/drawingml/2006/main">
                  <a:graphicData uri="http://schemas.microsoft.com/office/word/2010/wordprocessingShape">
                    <wps:wsp>
                      <wps:cNvSpPr txBox="1"/>
                      <wps:spPr>
                        <a:xfrm>
                          <a:off x="0" y="0"/>
                          <a:ext cx="2242822" cy="518163"/>
                        </a:xfrm>
                        <a:prstGeom prst="rect">
                          <a:avLst/>
                        </a:prstGeom>
                        <a:solidFill>
                          <a:srgbClr val="FFFFFF"/>
                        </a:solidFill>
                        <a:ln w="6345">
                          <a:solidFill>
                            <a:srgbClr val="000000"/>
                          </a:solidFill>
                          <a:prstDash val="solid"/>
                        </a:ln>
                      </wps:spPr>
                      <wps:txbx>
                        <w:txbxContent>
                          <w:p w:rsidR="00BF01D8" w:rsidRDefault="00BF01D8"/>
                        </w:txbxContent>
                      </wps:txbx>
                      <wps:bodyPr vert="horz" wrap="square" lIns="94612" tIns="48892" rIns="94612" bIns="48892" anchor="t" anchorCtr="0" compatLnSpc="0"/>
                    </wps:wsp>
                  </a:graphicData>
                </a:graphic>
              </wp:anchor>
            </w:drawing>
          </mc:Choice>
          <mc:Fallback>
            <w:pict>
              <v:shape id="Text Box 15" o:spid="_x0000_s1124" type="#_x0000_t202" alt="Date of birth text box" style="position:absolute;margin-left:302.35pt;margin-top:13.4pt;width:176.6pt;height:40.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" strokeweight=".17625mm">
                <v:textbox inset="2.62811mm,1.3581mm,2.62811mm,1.3581mm">
                  <w:txbxContent>
                    <w:p w:rsidR="00BF01D8" w:rsidRDefault="00BF01D8"/>
                  </w:txbxContent>
                </v:textbox>
              </v:shape>
            </w:pict>
          </mc:Fallback>
        </mc:AlternateContent>
      </w:r>
    </w:p>
    <w:p w:rsidR="00BF01D8" w:rsidRDefault="00BF01D8"/>
    <w:p w:rsidR="00BF01D8" w:rsidRDefault="00CB4F73">
      <w:r>
        <w:rPr>
          <w:rStyle w:val="Bold"/>
        </w:rPr>
        <w:t xml:space="preserve">Name     </w:t>
      </w:r>
      <w:r>
        <w:rPr>
          <w:rStyle w:val="Bold"/>
        </w:rPr>
        <w:tab/>
      </w:r>
      <w:r>
        <w:rPr>
          <w:rStyle w:val="Bold"/>
        </w:rPr>
        <w:tab/>
      </w:r>
      <w:r>
        <w:rPr>
          <w:rStyle w:val="Bold"/>
        </w:rPr>
        <w:tab/>
      </w:r>
      <w:r>
        <w:rPr>
          <w:rStyle w:val="Bold"/>
        </w:rPr>
        <w:tab/>
      </w:r>
      <w:r>
        <w:rPr>
          <w:rStyle w:val="Bold"/>
        </w:rPr>
        <w:tab/>
      </w:r>
      <w:r>
        <w:rPr>
          <w:rStyle w:val="Bold"/>
        </w:rPr>
        <w:tab/>
        <w:t xml:space="preserve">  D.O.B.   </w:t>
      </w:r>
      <w:r>
        <w:rPr>
          <w:rStyle w:val="Bold"/>
        </w:rPr>
        <w:tab/>
      </w:r>
      <w:r>
        <w:rPr>
          <w:rStyle w:val="Bold"/>
        </w:rPr>
        <w:tab/>
      </w:r>
      <w:r>
        <w:rPr>
          <w:rStyle w:val="Bold"/>
        </w:rPr>
        <w:tab/>
      </w:r>
      <w:r>
        <w:rPr>
          <w:rStyle w:val="Bold"/>
        </w:rPr>
        <w:tab/>
      </w:r>
      <w:r>
        <w:rPr>
          <w:rStyle w:val="Bold"/>
        </w:rPr>
        <w:tab/>
        <w:t xml:space="preserve"> </w:t>
      </w:r>
    </w:p>
    <w:p w:rsidR="00BF01D8" w:rsidRDefault="00CB4F73">
      <w:r>
        <w:rPr>
          <w:rStyle w:val="Bold"/>
          <w:noProof/>
        </w:rPr>
        <mc:AlternateContent>
          <mc:Choice Requires="wps">
            <w:drawing>
              <wp:anchor distT="0" distB="0" distL="114300" distR="114300" simplePos="0" relativeHeight="251663360" behindDoc="0" locked="0" layoutInCell="1" allowOverlap="1">
                <wp:simplePos x="0" y="0"/>
                <wp:positionH relativeFrom="column">
                  <wp:posOffset>2362306</wp:posOffset>
                </wp:positionH>
                <wp:positionV relativeFrom="paragraph">
                  <wp:posOffset>99623</wp:posOffset>
                </wp:positionV>
                <wp:extent cx="3837307" cy="531495"/>
                <wp:effectExtent l="0" t="0" r="10793" b="20955"/>
                <wp:wrapNone/>
                <wp:docPr id="110" name="Text Box 14" descr="NHS number and GP/Practice text box"/>
                <wp:cNvGraphicFramePr/>
                <a:graphic xmlns:a="http://schemas.openxmlformats.org/drawingml/2006/main">
                  <a:graphicData uri="http://schemas.microsoft.com/office/word/2010/wordprocessingShape">
                    <wps:wsp>
                      <wps:cNvSpPr txBox="1"/>
                      <wps:spPr>
                        <a:xfrm>
                          <a:off x="0" y="0"/>
                          <a:ext cx="3837307" cy="531495"/>
                        </a:xfrm>
                        <a:prstGeom prst="rect">
                          <a:avLst/>
                        </a:prstGeom>
                        <a:solidFill>
                          <a:srgbClr val="FFFFFF"/>
                        </a:solidFill>
                        <a:ln w="6345">
                          <a:solidFill>
                            <a:srgbClr val="000000"/>
                          </a:solidFill>
                          <a:prstDash val="solid"/>
                        </a:ln>
                      </wps:spPr>
                      <wps:txbx>
                        <w:txbxContent>
                          <w:p w:rsidR="00BF01D8" w:rsidRDefault="00BF01D8"/>
                        </w:txbxContent>
                      </wps:txbx>
                      <wps:bodyPr vert="horz" wrap="square" lIns="94612" tIns="48892" rIns="94612" bIns="48892" anchor="t" anchorCtr="0" compatLnSpc="0"/>
                    </wps:wsp>
                  </a:graphicData>
                </a:graphic>
              </wp:anchor>
            </w:drawing>
          </mc:Choice>
          <mc:Fallback>
            <w:pict>
              <v:shape id="Text Box 14" o:spid="_x0000_s1125" type="#_x0000_t202" alt="NHS number and GP/Practice text box" style="position:absolute;margin-left:186pt;margin-top:7.85pt;width:302.15pt;height:41.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" strokeweight=".17625mm">
                <v:textbox inset="2.62811mm,1.3581mm,2.62811mm,1.3581mm">
                  <w:txbxContent>
                    <w:p w:rsidR="00BF01D8" w:rsidRDefault="00BF01D8"/>
                  </w:txbxContent>
                </v:textbox>
              </v:shape>
            </w:pict>
          </mc:Fallback>
        </mc:AlternateContent>
      </w:r>
    </w:p>
    <w:p w:rsidR="00BF01D8" w:rsidRDefault="00CB4F73">
      <w:r>
        <w:rPr>
          <w:rStyle w:val="Bold"/>
        </w:rPr>
        <w:t xml:space="preserve">NHS number and GP/Practice:   </w:t>
      </w:r>
    </w:p>
    <w:p w:rsidR="00BF01D8" w:rsidRDefault="00BF01D8"/>
    <w:p w:rsidR="00BF01D8" w:rsidRDefault="00CB4F73">
      <w:r>
        <w:rPr>
          <w:rStyle w:val="Bold"/>
        </w:rPr>
        <w:t>Permanent Address and</w:t>
      </w:r>
      <w:r>
        <w:rPr>
          <w:rStyle w:val="Bold"/>
        </w:rPr>
        <w:tab/>
      </w:r>
      <w:r>
        <w:rPr>
          <w:rStyle w:val="Bold"/>
        </w:rPr>
        <w:tab/>
      </w:r>
      <w:r>
        <w:rPr>
          <w:rStyle w:val="Bold"/>
        </w:rPr>
        <w:tab/>
      </w:r>
      <w:r>
        <w:rPr>
          <w:rStyle w:val="Bold"/>
        </w:rPr>
        <w:tab/>
        <w:t xml:space="preserve">Current Residence (if </w:t>
      </w:r>
      <w:r>
        <w:rPr>
          <w:rStyle w:val="Bold"/>
        </w:rPr>
        <w:t>not permanent Telephone Number</w:t>
      </w:r>
      <w:r>
        <w:rPr>
          <w:rStyle w:val="Bold"/>
        </w:rPr>
        <w:tab/>
      </w:r>
      <w:r>
        <w:rPr>
          <w:rStyle w:val="Bold"/>
        </w:rPr>
        <w:tab/>
      </w:r>
      <w:r>
        <w:rPr>
          <w:rStyle w:val="Bold"/>
        </w:rPr>
        <w:tab/>
      </w:r>
      <w:r>
        <w:rPr>
          <w:rStyle w:val="Bold"/>
        </w:rPr>
        <w:tab/>
        <w:t>address)</w:t>
      </w:r>
      <w:r>
        <w:rPr>
          <w:rStyle w:val="Bold"/>
        </w:rPr>
        <w:tab/>
      </w:r>
      <w:r>
        <w:rPr>
          <w:rStyle w:val="Bold"/>
        </w:rPr>
        <w:tab/>
      </w:r>
      <w:r>
        <w:rPr>
          <w:rStyle w:val="Bold"/>
        </w:rPr>
        <w:tab/>
      </w:r>
      <w:r>
        <w:rPr>
          <w:rStyle w:val="Bold"/>
        </w:rPr>
        <w:tab/>
      </w:r>
    </w:p>
    <w:tbl>
      <w:tblPr>
        <w:tblW w:w="9844" w:type="dxa"/>
        <w:tblInd w:w="5" w:type="dxa"/>
        <w:tblLayout w:type="fixed"/>
        <w:tblCellMar>
          <w:left w:w="10" w:type="dxa"/>
          <w:right w:w="10" w:type="dxa"/>
        </w:tblCellMar>
        <w:tblLook w:val="0000" w:firstRow="0" w:lastRow="0" w:firstColumn="0" w:lastColumn="0" w:noHBand="0" w:noVBand="0"/>
      </w:tblPr>
      <w:tblGrid>
        <w:gridCol w:w="4917"/>
        <w:gridCol w:w="4927"/>
      </w:tblGrid>
      <w:tr w:rsidR="00BF01D8">
        <w:tblPrEx>
          <w:tblCellMar>
            <w:top w:w="0" w:type="dxa"/>
            <w:bottom w:w="0" w:type="dxa"/>
          </w:tblCellMar>
        </w:tblPrEx>
        <w:trPr>
          <w:trHeight w:val="1821"/>
        </w:trPr>
        <w:tc>
          <w:tcPr>
            <w:tcW w:w="491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bottom"/>
          </w:tcPr>
          <w:p w:rsidR="00BF01D8" w:rsidRDefault="00BF01D8"/>
        </w:tc>
        <w:tc>
          <w:tcPr>
            <w:tcW w:w="49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F01D8" w:rsidRDefault="00BF01D8"/>
        </w:tc>
      </w:tr>
    </w:tbl>
    <w:p w:rsidR="00BF01D8" w:rsidRDefault="00BF01D8"/>
    <w:p w:rsidR="00BF01D8" w:rsidRDefault="00CB4F73">
      <w:r>
        <w:rPr>
          <w:rStyle w:val="Bold"/>
        </w:rPr>
        <w:t>Gender _____________________________</w:t>
      </w:r>
    </w:p>
    <w:p w:rsidR="00BF01D8" w:rsidRDefault="00BF01D8"/>
    <w:p w:rsidR="00BF01D8" w:rsidRDefault="00CB4F73">
      <w:r>
        <w:rPr>
          <w:rStyle w:val="Bold"/>
        </w:rPr>
        <w:t>Please ensure that if the equality monitoring form at the end of the DST is completed</w:t>
      </w:r>
    </w:p>
    <w:p w:rsidR="00BF01D8" w:rsidRDefault="00CB4F73">
      <w:r>
        <w:rPr>
          <w:rStyle w:val="Bold"/>
        </w:rPr>
        <w:t xml:space="preserve">Was the individual involved in the completion of the DST? Yes/No (please delete </w:t>
      </w:r>
      <w:r>
        <w:rPr>
          <w:rStyle w:val="Bold"/>
        </w:rPr>
        <w:t>as appropriate)</w:t>
      </w:r>
    </w:p>
    <w:p w:rsidR="00BF01D8" w:rsidRDefault="00CB4F73">
      <w:r>
        <w:rPr>
          <w:rStyle w:val="Bold"/>
        </w:rPr>
        <w:t>Was the individual offered the opportunity to have a representative such as a family member or other advocate present when the DST was completed? Yes/No (please delete as appropriate)</w:t>
      </w:r>
    </w:p>
    <w:p w:rsidR="00BF01D8" w:rsidRDefault="00CB4F73">
      <w:r>
        <w:rPr>
          <w:rStyle w:val="Bold"/>
        </w:rPr>
        <w:t xml:space="preserve">If yes, did the representative attend the completion of </w:t>
      </w:r>
      <w:r>
        <w:rPr>
          <w:rStyle w:val="Bold"/>
        </w:rPr>
        <w:t xml:space="preserve">the DST? (please delete as appropriate) Yes/No </w:t>
      </w:r>
    </w:p>
    <w:p w:rsidR="00BF01D8" w:rsidRDefault="00CB4F73">
      <w:r>
        <w:rPr>
          <w:rStyle w:val="Bold"/>
        </w:rPr>
        <w:t>Please give the contact details of the representative (name, address and telephone number)</w:t>
      </w:r>
    </w:p>
    <w:tbl>
      <w:tblPr>
        <w:tblW w:w="10451" w:type="dxa"/>
        <w:tblInd w:w="5" w:type="dxa"/>
        <w:tblLayout w:type="fixed"/>
        <w:tblCellMar>
          <w:left w:w="10" w:type="dxa"/>
          <w:right w:w="10" w:type="dxa"/>
        </w:tblCellMar>
        <w:tblLook w:val="0000" w:firstRow="0" w:lastRow="0" w:firstColumn="0" w:lastColumn="0" w:noHBand="0" w:noVBand="0"/>
      </w:tblPr>
      <w:tblGrid>
        <w:gridCol w:w="10451"/>
      </w:tblGrid>
      <w:tr w:rsidR="00BF01D8">
        <w:tblPrEx>
          <w:tblCellMar>
            <w:top w:w="0" w:type="dxa"/>
            <w:bottom w:w="0" w:type="dxa"/>
          </w:tblCellMar>
        </w:tblPrEx>
        <w:trPr>
          <w:trHeight w:val="2605"/>
        </w:trPr>
        <w:tc>
          <w:tcPr>
            <w:tcW w:w="10451"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BF01D8" w:rsidRDefault="00BF01D8"/>
        </w:tc>
      </w:tr>
    </w:tbl>
    <w:p w:rsidR="00000000" w:rsidRDefault="00CB4F73">
      <w:pPr>
        <w:sectPr w:rsidR="00000000">
          <w:headerReference w:type="default" r:id="rId22"/>
          <w:footerReference w:type="default" r:id="rId23"/>
          <w:headerReference w:type="first" r:id="rId24"/>
          <w:footerReference w:type="first" r:id="rId25"/>
          <w:pgSz w:w="11906" w:h="16838"/>
          <w:pgMar w:top="1418" w:right="851" w:bottom="907" w:left="851" w:header="720" w:footer="720" w:gutter="0"/>
          <w:cols w:space="720"/>
          <w:titlePg/>
        </w:sectPr>
      </w:pPr>
    </w:p>
    <w:bookmarkEnd w:id="5"/>
    <w:p w:rsidR="00BF01D8" w:rsidRDefault="00CB4F73">
      <w:pPr>
        <w:pStyle w:val="Heading3"/>
      </w:pPr>
      <w:r>
        <w:lastRenderedPageBreak/>
        <w:t>Decision Support Tool for NHS Continuing Healthcare</w:t>
      </w:r>
      <w:r>
        <w:br/>
      </w:r>
      <w:r>
        <w:t>Section 1 – Personal Details</w:t>
      </w:r>
    </w:p>
    <w:p w:rsidR="00BF01D8" w:rsidRDefault="00CB4F73">
      <w:r>
        <w:rPr>
          <w:rStyle w:val="DHGreen"/>
        </w:rPr>
        <w:t>Summary</w:t>
      </w:r>
    </w:p>
    <w:p w:rsidR="00BF01D8" w:rsidRDefault="00CB4F73">
      <w:r>
        <w:t>a)</w:t>
      </w:r>
    </w:p>
    <w:p w:rsidR="00BF01D8" w:rsidRDefault="00CB4F73">
      <w:r>
        <w:rPr>
          <w:rStyle w:val="Bold"/>
        </w:rPr>
        <w:t xml:space="preserve">Summary pen portrait </w:t>
      </w:r>
      <w:r>
        <w:rPr>
          <w:rStyle w:val="Bold"/>
        </w:rPr>
        <w:t>of the individual’s situation, relevant history (particularly clinical history) and current needs, including clinical summary and identified significant risks, drawn from the multidisciplinary assessment:</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BF01D8">
        <w:tblPrEx>
          <w:tblCellMar>
            <w:top w:w="0" w:type="dxa"/>
            <w:bottom w:w="0" w:type="dxa"/>
          </w:tblCellMar>
        </w:tblPrEx>
        <w:trPr>
          <w:trHeight w:val="4875"/>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BF01D8" w:rsidRDefault="00BF01D8"/>
        </w:tc>
      </w:tr>
    </w:tbl>
    <w:p w:rsidR="00BF01D8" w:rsidRDefault="00BF01D8"/>
    <w:p w:rsidR="00BF01D8" w:rsidRDefault="00CB4F73">
      <w:r>
        <w:rPr>
          <w:rStyle w:val="Bold"/>
        </w:rPr>
        <w:t>Individual’s view of their care needs and whethe</w:t>
      </w:r>
      <w:r>
        <w:rPr>
          <w:rStyle w:val="Bold"/>
        </w:rPr>
        <w:t>r they consider that the multidisciplinary assessment accurately reflects these:</w:t>
      </w:r>
    </w:p>
    <w:tbl>
      <w:tblPr>
        <w:tblW w:w="10412" w:type="dxa"/>
        <w:tblInd w:w="5" w:type="dxa"/>
        <w:tblLayout w:type="fixed"/>
        <w:tblCellMar>
          <w:left w:w="10" w:type="dxa"/>
          <w:right w:w="10" w:type="dxa"/>
        </w:tblCellMar>
        <w:tblLook w:val="0000" w:firstRow="0" w:lastRow="0" w:firstColumn="0" w:lastColumn="0" w:noHBand="0" w:noVBand="0"/>
      </w:tblPr>
      <w:tblGrid>
        <w:gridCol w:w="10412"/>
      </w:tblGrid>
      <w:tr w:rsidR="00BF01D8">
        <w:tblPrEx>
          <w:tblCellMar>
            <w:top w:w="0" w:type="dxa"/>
            <w:bottom w:w="0" w:type="dxa"/>
          </w:tblCellMar>
        </w:tblPrEx>
        <w:trPr>
          <w:trHeight w:val="5217"/>
        </w:trPr>
        <w:tc>
          <w:tcPr>
            <w:tcW w:w="10412"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BF01D8" w:rsidRDefault="00BF01D8"/>
        </w:tc>
      </w:tr>
    </w:tbl>
    <w:p w:rsidR="00BF01D8" w:rsidRDefault="00CB4F73">
      <w:pPr>
        <w:pStyle w:val="Heading3"/>
      </w:pPr>
      <w:r>
        <w:lastRenderedPageBreak/>
        <w:t>Decision Support Tool for NHS Continuing Healthcare</w:t>
      </w:r>
      <w:r>
        <w:br/>
      </w:r>
      <w:r>
        <w:t>Section 1 – Personal Details</w:t>
      </w:r>
    </w:p>
    <w:p w:rsidR="00BF01D8" w:rsidRDefault="00CB4F73">
      <w:r>
        <w:t>b)</w:t>
      </w:r>
    </w:p>
    <w:p w:rsidR="00BF01D8" w:rsidRDefault="00CB4F73">
      <w:r>
        <w:rPr>
          <w:rStyle w:val="Bold"/>
        </w:rPr>
        <w:t>Please note below whether and how the individual (or their representative) contributed to</w:t>
      </w:r>
      <w:r>
        <w:rPr>
          <w:rStyle w:val="Bold"/>
        </w:rPr>
        <w:t xml:space="preserve"> the assessment of their needs. If they were not involved, please record whether they were not invited or whether they declined to participate.</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BF01D8">
        <w:tblPrEx>
          <w:tblCellMar>
            <w:top w:w="0" w:type="dxa"/>
            <w:bottom w:w="0" w:type="dxa"/>
          </w:tblCellMar>
        </w:tblPrEx>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BF01D8" w:rsidRDefault="00BF01D8"/>
        </w:tc>
      </w:tr>
    </w:tbl>
    <w:p w:rsidR="00BF01D8" w:rsidRDefault="00BF01D8"/>
    <w:p w:rsidR="00BF01D8" w:rsidRDefault="00CB4F73">
      <w:r>
        <w:rPr>
          <w:rStyle w:val="Bold"/>
        </w:rPr>
        <w:t>Please list the assessments and other key evidence that were taken into account in completing the DST, includ</w:t>
      </w:r>
      <w:r>
        <w:rPr>
          <w:rStyle w:val="Bold"/>
        </w:rPr>
        <w:t>ing the dates of the assessments:</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BF01D8">
        <w:tblPrEx>
          <w:tblCellMar>
            <w:top w:w="0" w:type="dxa"/>
            <w:bottom w:w="0" w:type="dxa"/>
          </w:tblCellMar>
        </w:tblPrEx>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BF01D8" w:rsidRDefault="00BF01D8"/>
        </w:tc>
      </w:tr>
    </w:tbl>
    <w:p w:rsidR="00BF01D8" w:rsidRDefault="00CB4F73">
      <w:pPr>
        <w:pStyle w:val="Heading2"/>
      </w:pPr>
      <w:r>
        <w:lastRenderedPageBreak/>
        <w:t>Decision Support Tool for NHS Continuing Healthcare</w:t>
      </w:r>
      <w:r>
        <w:br/>
      </w:r>
      <w:r>
        <w:t>Section 1 – Personal Details</w:t>
      </w:r>
    </w:p>
    <w:p w:rsidR="00BF01D8" w:rsidRDefault="00CB4F73">
      <w:r>
        <w:t>c)</w:t>
      </w:r>
    </w:p>
    <w:p w:rsidR="00BF01D8" w:rsidRDefault="00CB4F73">
      <w:r>
        <w:rPr>
          <w:rStyle w:val="Bold"/>
        </w:rPr>
        <w:t>Assessors’ (including MDT members) name/address/contact details noting lead coordinator:</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BF01D8">
        <w:tblPrEx>
          <w:tblCellMar>
            <w:top w:w="0" w:type="dxa"/>
            <w:bottom w:w="0" w:type="dxa"/>
          </w:tblCellMar>
        </w:tblPrEx>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BF01D8" w:rsidRDefault="00BF01D8"/>
        </w:tc>
      </w:tr>
    </w:tbl>
    <w:p w:rsidR="00BF01D8" w:rsidRDefault="00CB4F73">
      <w:r>
        <w:rPr>
          <w:rStyle w:val="Bold"/>
        </w:rPr>
        <w:t xml:space="preserve">Contact details of GP and other key </w:t>
      </w:r>
      <w:r>
        <w:rPr>
          <w:rStyle w:val="Bold"/>
        </w:rPr>
        <w:t>professionals involved in the care of the individual: Please indicate which of these have contributed to the assessment of needs for the MDT to consider when completing this Decision Support Tool.</w:t>
      </w:r>
    </w:p>
    <w:tbl>
      <w:tblPr>
        <w:tblW w:w="10358" w:type="dxa"/>
        <w:tblInd w:w="5" w:type="dxa"/>
        <w:tblLayout w:type="fixed"/>
        <w:tblCellMar>
          <w:left w:w="10" w:type="dxa"/>
          <w:right w:w="10" w:type="dxa"/>
        </w:tblCellMar>
        <w:tblLook w:val="0000" w:firstRow="0" w:lastRow="0" w:firstColumn="0" w:lastColumn="0" w:noHBand="0" w:noVBand="0"/>
      </w:tblPr>
      <w:tblGrid>
        <w:gridCol w:w="10358"/>
      </w:tblGrid>
      <w:tr w:rsidR="00BF01D8">
        <w:tblPrEx>
          <w:tblCellMar>
            <w:top w:w="0" w:type="dxa"/>
            <w:bottom w:w="0" w:type="dxa"/>
          </w:tblCellMar>
        </w:tblPrEx>
        <w:trPr>
          <w:trHeight w:val="5102"/>
        </w:trPr>
        <w:tc>
          <w:tcPr>
            <w:tcW w:w="10358" w:type="dxa"/>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vAlign w:val="bottom"/>
          </w:tcPr>
          <w:p w:rsidR="00BF01D8" w:rsidRDefault="00BF01D8"/>
        </w:tc>
      </w:tr>
    </w:tbl>
    <w:p w:rsidR="00BF01D8" w:rsidRDefault="00BF01D8">
      <w:pPr>
        <w:pStyle w:val="Heading2"/>
      </w:pPr>
    </w:p>
    <w:p w:rsidR="00BF01D8" w:rsidRDefault="00CB4F73">
      <w:pPr>
        <w:pStyle w:val="Heading2"/>
      </w:pPr>
      <w:r>
        <w:lastRenderedPageBreak/>
        <w:t>Decision Support Tool for NHS Continuing Healthcare</w:t>
      </w:r>
      <w:r>
        <w:br/>
      </w:r>
      <w:r>
        <w:t>Sect</w:t>
      </w:r>
      <w:r>
        <w:t>ion 2 – Care Domains</w:t>
      </w:r>
    </w:p>
    <w:p w:rsidR="00BF01D8" w:rsidRDefault="00CB4F73">
      <w:r>
        <w:t>Please refer to the user notes</w:t>
      </w:r>
    </w:p>
    <w:p w:rsidR="00BF01D8" w:rsidRDefault="00CB4F73">
      <w:r>
        <w:t>1.</w:t>
      </w:r>
      <w:r>
        <w:rPr>
          <w:rStyle w:val="DHGreen"/>
        </w:rPr>
        <w:t xml:space="preserve"> Breathing</w:t>
      </w:r>
      <w:r>
        <w:t xml:space="preserve">: As with all other domains, the breathing domain should be used to record needs rather than the underlying condition that may give rise to the needs For example, an individual may have </w:t>
      </w:r>
      <w:r>
        <w:t>Chronic Obstructive Pulmonary Disease (COPD), emphysema or recurrent chest infections or another condition giving rise to breathing difficulties, and it is the needs arising from such conditions which should be recorded.</w:t>
      </w:r>
    </w:p>
    <w:tbl>
      <w:tblPr>
        <w:tblW w:w="10527" w:type="dxa"/>
        <w:tblInd w:w="85" w:type="dxa"/>
        <w:tblLayout w:type="fixed"/>
        <w:tblCellMar>
          <w:left w:w="10" w:type="dxa"/>
          <w:right w:w="10" w:type="dxa"/>
        </w:tblCellMar>
        <w:tblLook w:val="0000" w:firstRow="0" w:lastRow="0" w:firstColumn="0" w:lastColumn="0" w:noHBand="0" w:noVBand="0"/>
      </w:tblPr>
      <w:tblGrid>
        <w:gridCol w:w="10527"/>
      </w:tblGrid>
      <w:tr w:rsidR="00BF01D8">
        <w:tblPrEx>
          <w:tblCellMar>
            <w:top w:w="0" w:type="dxa"/>
            <w:bottom w:w="0" w:type="dxa"/>
          </w:tblCellMar>
        </w:tblPrEx>
        <w:trPr>
          <w:trHeight w:val="10200"/>
        </w:trPr>
        <w:tc>
          <w:tcPr>
            <w:tcW w:w="10527"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CB4F73">
            <w:r>
              <w:rPr>
                <w:rStyle w:val="Bold"/>
              </w:rPr>
              <w:t xml:space="preserve">1. Describe below the actual needs </w:t>
            </w:r>
            <w:r>
              <w:rPr>
                <w:rStyle w:val="Bold"/>
              </w:rPr>
              <w:t>of the individual, providing the evidence that informs the decision overleaf on which level is appropriate, including the frequency and intensity of need, unpredictability, deterioration and any instability.</w:t>
            </w:r>
          </w:p>
          <w:p w:rsidR="00BF01D8" w:rsidRDefault="00CB4F73">
            <w:r>
              <w:rPr>
                <w:rStyle w:val="Bold"/>
              </w:rPr>
              <w:t>2. Circle the assessed level overleaf.</w:t>
            </w:r>
          </w:p>
        </w:tc>
      </w:tr>
    </w:tbl>
    <w:p w:rsidR="00BF01D8" w:rsidRDefault="00BF01D8"/>
    <w:p w:rsidR="00BF01D8" w:rsidRDefault="00BF01D8"/>
    <w:p w:rsidR="00BF01D8" w:rsidRDefault="00BF01D8">
      <w:pPr>
        <w:pStyle w:val="Heading3"/>
      </w:pPr>
    </w:p>
    <w:p w:rsidR="00BF01D8" w:rsidRDefault="00CB4F73">
      <w:pPr>
        <w:pStyle w:val="Heading3"/>
      </w:pPr>
      <w:r>
        <w:rPr>
          <w:rStyle w:val="DHGreen"/>
        </w:rPr>
        <w:lastRenderedPageBreak/>
        <w:t>Decision Support Tool for NHS Continuing Healthcare</w:t>
      </w:r>
      <w:r>
        <w:rPr>
          <w:rStyle w:val="DHGreen"/>
        </w:rPr>
        <w:br/>
      </w:r>
      <w:r>
        <w:rPr>
          <w:rStyle w:val="DHGreen"/>
        </w:rPr>
        <w:t>Section 2 – Care Domains</w:t>
      </w:r>
    </w:p>
    <w:p w:rsidR="00BF01D8" w:rsidRDefault="00CB4F73">
      <w:r>
        <w:t>Please refer to the user notes</w:t>
      </w:r>
    </w:p>
    <w:p w:rsidR="00BF01D8" w:rsidRDefault="00CB4F73">
      <w:r>
        <w:rPr>
          <w:rStyle w:val="Bold"/>
        </w:rPr>
        <w:t>1.</w:t>
      </w:r>
      <w:r>
        <w:t xml:space="preserve"> </w:t>
      </w:r>
      <w:r>
        <w:rPr>
          <w:rStyle w:val="Bold"/>
        </w:rPr>
        <w:t>Breathing</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rPr>
                <w:rStyle w:val="Bold"/>
              </w:rPr>
              <w:t>Description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rPr>
                <w:rStyle w:val="Bold"/>
              </w:rPr>
              <w:t>Level of need</w:t>
            </w:r>
          </w:p>
        </w:tc>
      </w:tr>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Normal breathing, no issues with shortness of breath.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No needs</w:t>
            </w:r>
          </w:p>
        </w:tc>
      </w:tr>
      <w:tr w:rsidR="00BF01D8">
        <w:tblPrEx>
          <w:tblCellMar>
            <w:top w:w="0" w:type="dxa"/>
            <w:bottom w:w="0" w:type="dxa"/>
          </w:tblCellMar>
        </w:tblPrEx>
        <w:trPr>
          <w:trHeight w:val="167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Shortness of breath or a condition which </w:t>
            </w:r>
            <w:r>
              <w:t>may require the use of inhalers or a nebuliser and has no impact on daily living activities.</w:t>
            </w:r>
          </w:p>
          <w:p w:rsidR="00BF01D8" w:rsidRDefault="00CB4F73">
            <w:pPr>
              <w:pStyle w:val="NoSpacing"/>
            </w:pPr>
            <w:r>
              <w:rPr>
                <w:rStyle w:val="DHGreen"/>
              </w:rPr>
              <w:t>OR</w:t>
            </w:r>
          </w:p>
          <w:p w:rsidR="00BF01D8" w:rsidRDefault="00CB4F73">
            <w:pPr>
              <w:pStyle w:val="NoSpacing"/>
            </w:pPr>
            <w:r>
              <w:t>Episodes of breathlessness that readily respond to management and have no impact on daily living activities.</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Low</w:t>
            </w:r>
          </w:p>
          <w:p w:rsidR="00BF01D8" w:rsidRDefault="00BF01D8">
            <w:pPr>
              <w:pStyle w:val="NoSpacing"/>
            </w:pPr>
          </w:p>
        </w:tc>
      </w:tr>
      <w:tr w:rsidR="00BF01D8">
        <w:tblPrEx>
          <w:tblCellMar>
            <w:top w:w="0" w:type="dxa"/>
            <w:bottom w:w="0" w:type="dxa"/>
          </w:tblCellMar>
        </w:tblPrEx>
        <w:trPr>
          <w:trHeight w:val="3401"/>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Shortness of breath or a condition which </w:t>
            </w:r>
            <w:r>
              <w:t>may require the use of inhalers or a nebuliser and limit some daily living activities.</w:t>
            </w:r>
          </w:p>
          <w:p w:rsidR="00BF01D8" w:rsidRDefault="00CB4F73">
            <w:pPr>
              <w:pStyle w:val="NoSpacing"/>
            </w:pPr>
            <w:r>
              <w:rPr>
                <w:rStyle w:val="DHGreen"/>
              </w:rPr>
              <w:t>OR</w:t>
            </w:r>
          </w:p>
          <w:p w:rsidR="00BF01D8" w:rsidRDefault="00CB4F73">
            <w:pPr>
              <w:pStyle w:val="NoSpacing"/>
            </w:pPr>
            <w:r>
              <w:t>Episodes of breathlessness that do not consistently respond to management and limit some daily living activities.</w:t>
            </w:r>
          </w:p>
          <w:p w:rsidR="00BF01D8" w:rsidRDefault="00CB4F73">
            <w:pPr>
              <w:pStyle w:val="NoSpacing"/>
            </w:pPr>
            <w:r>
              <w:rPr>
                <w:rStyle w:val="DHGreen"/>
              </w:rPr>
              <w:t>OR</w:t>
            </w:r>
          </w:p>
          <w:p w:rsidR="00BF01D8" w:rsidRDefault="00CB4F73">
            <w:pPr>
              <w:pStyle w:val="NoSpacing"/>
            </w:pPr>
            <w:r>
              <w:t>Requires any of the following:</w:t>
            </w:r>
          </w:p>
          <w:p w:rsidR="00BF01D8" w:rsidRDefault="00CB4F73">
            <w:pPr>
              <w:pStyle w:val="NoSpacing"/>
            </w:pPr>
            <w:r>
              <w:t>low level oxygen t</w:t>
            </w:r>
            <w:r>
              <w:t>herapy (24%).</w:t>
            </w:r>
          </w:p>
          <w:p w:rsidR="00BF01D8" w:rsidRDefault="00CB4F73">
            <w:pPr>
              <w:pStyle w:val="NoSpacing"/>
            </w:pPr>
            <w:r>
              <w:t>room air ventilators via a facial or nasal mask.</w:t>
            </w:r>
          </w:p>
          <w:p w:rsidR="00BF01D8" w:rsidRDefault="00CB4F73">
            <w:pPr>
              <w:pStyle w:val="NoSpacing"/>
            </w:pPr>
            <w:r>
              <w:t>other therapeutic appliances to maintain airflow where individual can still spontaneously breathe e.g. CPAP (Continuous Positive Airways Pressure) to manage obstructive apnoea during sleep.</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M</w:t>
            </w:r>
            <w:r>
              <w:t>oderate</w:t>
            </w:r>
          </w:p>
          <w:p w:rsidR="00BF01D8" w:rsidRDefault="00BF01D8">
            <w:pPr>
              <w:pStyle w:val="NoSpacing"/>
            </w:pPr>
          </w:p>
        </w:tc>
      </w:tr>
      <w:tr w:rsidR="00BF01D8">
        <w:tblPrEx>
          <w:tblCellMar>
            <w:top w:w="0" w:type="dxa"/>
            <w:bottom w:w="0" w:type="dxa"/>
          </w:tblCellMar>
        </w:tblPrEx>
        <w:trPr>
          <w:trHeight w:val="1550"/>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Is able to breathe independently through a tracheotomy that they can manage themselves, or with the support of carers or care workers.</w:t>
            </w:r>
          </w:p>
          <w:p w:rsidR="00BF01D8" w:rsidRDefault="00CB4F73">
            <w:pPr>
              <w:pStyle w:val="NoSpacing"/>
            </w:pPr>
            <w:r>
              <w:rPr>
                <w:rStyle w:val="DHGreen"/>
              </w:rPr>
              <w:t>OR</w:t>
            </w:r>
          </w:p>
          <w:p w:rsidR="00BF01D8" w:rsidRDefault="00CB4F73">
            <w:pPr>
              <w:pStyle w:val="NoSpacing"/>
            </w:pPr>
            <w:r>
              <w:t xml:space="preserve">Breathlessness due to a condition which is not responding to treatment and limits all daily living </w:t>
            </w:r>
            <w:r>
              <w:t xml:space="preserve">activities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High</w:t>
            </w:r>
          </w:p>
          <w:p w:rsidR="00BF01D8" w:rsidRDefault="00BF01D8">
            <w:pPr>
              <w:pStyle w:val="NoSpacing"/>
            </w:pPr>
          </w:p>
        </w:tc>
      </w:tr>
      <w:tr w:rsidR="00BF01D8">
        <w:tblPrEx>
          <w:tblCellMar>
            <w:top w:w="0" w:type="dxa"/>
            <w:bottom w:w="0" w:type="dxa"/>
          </w:tblCellMar>
        </w:tblPrEx>
        <w:trPr>
          <w:trHeight w:val="220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Difficulty in breathing, even through a tracheotomy, which requires suction to maintain airway.</w:t>
            </w:r>
          </w:p>
          <w:p w:rsidR="00BF01D8" w:rsidRDefault="00CB4F73">
            <w:pPr>
              <w:pStyle w:val="NoSpacing"/>
            </w:pPr>
            <w:r>
              <w:rPr>
                <w:rStyle w:val="DHGreen"/>
              </w:rPr>
              <w:t>OR</w:t>
            </w:r>
          </w:p>
          <w:p w:rsidR="00BF01D8" w:rsidRDefault="00CB4F73">
            <w:pPr>
              <w:pStyle w:val="NoSpacing"/>
            </w:pPr>
            <w:r>
              <w:t>Demonstrates severe breathing difficulties at rest, in spite of maximum medical therapy</w:t>
            </w:r>
          </w:p>
          <w:p w:rsidR="00BF01D8" w:rsidRDefault="00CB4F73">
            <w:pPr>
              <w:pStyle w:val="NoSpacing"/>
            </w:pPr>
            <w:r>
              <w:rPr>
                <w:rStyle w:val="DHGreen"/>
              </w:rPr>
              <w:t>OR</w:t>
            </w:r>
          </w:p>
          <w:p w:rsidR="00BF01D8" w:rsidRDefault="00CB4F73">
            <w:pPr>
              <w:pStyle w:val="NoSpacing"/>
            </w:pPr>
            <w:r>
              <w:t xml:space="preserve">A condition that requires management by a </w:t>
            </w:r>
            <w:r>
              <w:t>non-invasive device to both stimulate and maintain breathing  (bilevel positive airway pressure, or non-invasive ventilation)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Severe</w:t>
            </w:r>
          </w:p>
          <w:p w:rsidR="00BF01D8" w:rsidRDefault="00BF01D8">
            <w:pPr>
              <w:pStyle w:val="NoSpacing"/>
            </w:pPr>
          </w:p>
        </w:tc>
      </w:tr>
      <w:tr w:rsidR="00BF01D8">
        <w:tblPrEx>
          <w:tblCellMar>
            <w:top w:w="0" w:type="dxa"/>
            <w:bottom w:w="0" w:type="dxa"/>
          </w:tblCellMar>
        </w:tblPrEx>
        <w:trPr>
          <w:trHeight w:val="510"/>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Unable to breathe independently, requires invasive mechanical ventilation.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Priority</w:t>
            </w:r>
          </w:p>
        </w:tc>
      </w:tr>
    </w:tbl>
    <w:p w:rsidR="00BF01D8" w:rsidRDefault="00BF01D8"/>
    <w:p w:rsidR="00BF01D8" w:rsidRDefault="00BF01D8">
      <w:pPr>
        <w:pStyle w:val="Heading3"/>
      </w:pPr>
    </w:p>
    <w:p w:rsidR="00BF01D8" w:rsidRDefault="00BF01D8">
      <w:pPr>
        <w:pStyle w:val="Heading3"/>
      </w:pPr>
    </w:p>
    <w:p w:rsidR="00BF01D8" w:rsidRDefault="00BF01D8">
      <w:pPr>
        <w:pStyle w:val="Heading3"/>
      </w:pPr>
    </w:p>
    <w:p w:rsidR="00BF01D8" w:rsidRDefault="00BF01D8">
      <w:pPr>
        <w:pStyle w:val="Heading3"/>
      </w:pPr>
    </w:p>
    <w:p w:rsidR="00BF01D8" w:rsidRDefault="00CB4F73">
      <w:pPr>
        <w:pStyle w:val="Heading3"/>
      </w:pPr>
      <w:r>
        <w:lastRenderedPageBreak/>
        <w:t xml:space="preserve">Decision Support Tool for </w:t>
      </w:r>
      <w:r>
        <w:t>NHS Continuing Healthcare</w:t>
      </w:r>
      <w:r>
        <w:br/>
      </w:r>
      <w:r>
        <w:t>Section 2 – Care Domains</w:t>
      </w:r>
    </w:p>
    <w:p w:rsidR="00BF01D8" w:rsidRDefault="00CB4F73">
      <w:r>
        <w:t>Please refer to the user notes</w:t>
      </w:r>
    </w:p>
    <w:p w:rsidR="00BF01D8" w:rsidRDefault="00CB4F73">
      <w:r>
        <w:t xml:space="preserve">2. </w:t>
      </w:r>
      <w:r>
        <w:rPr>
          <w:rStyle w:val="DHGreen"/>
        </w:rPr>
        <w:t>Nutrition</w:t>
      </w:r>
      <w:r>
        <w:t xml:space="preserve"> </w:t>
      </w:r>
      <w:r>
        <w:rPr>
          <w:rStyle w:val="DHGreen"/>
        </w:rPr>
        <w:t>– Food and Drink</w:t>
      </w:r>
      <w:r>
        <w:t>: Individuals at risk of malnutrition, dehydration and/or aspiration should either have an existing assessment of these needs or have had one car</w:t>
      </w:r>
      <w:r>
        <w:t>ried out as part of the assessment process with any management and risk factors supported by a management plan. Where an individual has significant weight loss or gain, professional judgement should be used to consider what the trajectory of weight loss or</w:t>
      </w:r>
      <w:r>
        <w:t xml:space="preserve"> gain is telling us about the individual’s nutritional status.</w:t>
      </w:r>
    </w:p>
    <w:tbl>
      <w:tblPr>
        <w:tblW w:w="10536" w:type="dxa"/>
        <w:tblInd w:w="85" w:type="dxa"/>
        <w:tblLayout w:type="fixed"/>
        <w:tblCellMar>
          <w:left w:w="10" w:type="dxa"/>
          <w:right w:w="10" w:type="dxa"/>
        </w:tblCellMar>
        <w:tblLook w:val="0000" w:firstRow="0" w:lastRow="0" w:firstColumn="0" w:lastColumn="0" w:noHBand="0" w:noVBand="0"/>
      </w:tblPr>
      <w:tblGrid>
        <w:gridCol w:w="10536"/>
      </w:tblGrid>
      <w:tr w:rsidR="00BF01D8">
        <w:tblPrEx>
          <w:tblCellMar>
            <w:top w:w="0" w:type="dxa"/>
            <w:bottom w:w="0" w:type="dxa"/>
          </w:tblCellMar>
        </w:tblPrEx>
        <w:trPr>
          <w:trHeight w:val="10642"/>
        </w:trPr>
        <w:tc>
          <w:tcPr>
            <w:tcW w:w="1053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CB4F73">
            <w:r>
              <w:rPr>
                <w:rStyle w:val="Bold"/>
              </w:rPr>
              <w:t>1. Describe the actual needs of the individual, providing the evidence that informs the decision overleaf on which level is appropriate, including the frequency and intensity of need, unpredict</w:t>
            </w:r>
            <w:r>
              <w:rPr>
                <w:rStyle w:val="Bold"/>
              </w:rPr>
              <w:t>ability, deterioration and any instability.</w:t>
            </w:r>
          </w:p>
          <w:p w:rsidR="00BF01D8" w:rsidRDefault="00CB4F73">
            <w:r>
              <w:rPr>
                <w:rStyle w:val="Bold"/>
              </w:rPr>
              <w:t>2. Circle the assessed level overleaf.</w:t>
            </w:r>
          </w:p>
        </w:tc>
      </w:tr>
    </w:tbl>
    <w:p w:rsidR="00BF01D8" w:rsidRDefault="00BF01D8">
      <w:pPr>
        <w:pStyle w:val="Heading3"/>
      </w:pPr>
    </w:p>
    <w:p w:rsidR="00BF01D8" w:rsidRDefault="00CB4F73">
      <w:pPr>
        <w:pStyle w:val="Heading3"/>
      </w:pPr>
      <w:r>
        <w:lastRenderedPageBreak/>
        <w:t>Decision Support Tool for NHS Continuing Healthcare</w:t>
      </w:r>
      <w:r>
        <w:br/>
      </w:r>
      <w:r>
        <w:t xml:space="preserve">Section 2 – Care Domains  </w:t>
      </w:r>
    </w:p>
    <w:p w:rsidR="00BF01D8" w:rsidRDefault="00CB4F73">
      <w:pPr>
        <w:pStyle w:val="Caption"/>
        <w:rPr>
          <w:b w:val="0"/>
          <w:bCs w:val="0"/>
          <w:sz w:val="24"/>
        </w:rPr>
      </w:pPr>
      <w:r>
        <w:rPr>
          <w:b w:val="0"/>
          <w:bCs w:val="0"/>
          <w:sz w:val="24"/>
        </w:rPr>
        <w:t>Please refer to the user notes</w:t>
      </w:r>
    </w:p>
    <w:p w:rsidR="00BF01D8" w:rsidRDefault="00CB4F73">
      <w:r>
        <w:rPr>
          <w:rStyle w:val="Bold"/>
        </w:rPr>
        <w:t>2. Nutrition – Food and Drink</w:t>
      </w:r>
    </w:p>
    <w:tbl>
      <w:tblPr>
        <w:tblW w:w="10617" w:type="dxa"/>
        <w:tblInd w:w="5" w:type="dxa"/>
        <w:tblLayout w:type="fixed"/>
        <w:tblCellMar>
          <w:left w:w="10" w:type="dxa"/>
          <w:right w:w="10" w:type="dxa"/>
        </w:tblCellMar>
        <w:tblLook w:val="0000" w:firstRow="0" w:lastRow="0" w:firstColumn="0" w:lastColumn="0" w:noHBand="0" w:noVBand="0"/>
      </w:tblPr>
      <w:tblGrid>
        <w:gridCol w:w="8789"/>
        <w:gridCol w:w="1828"/>
      </w:tblGrid>
      <w:tr w:rsidR="00BF01D8">
        <w:tblPrEx>
          <w:tblCellMar>
            <w:top w:w="0" w:type="dxa"/>
            <w:bottom w:w="0" w:type="dxa"/>
          </w:tblCellMar>
        </w:tblPrEx>
        <w:trPr>
          <w:trHeight w:val="528"/>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rPr>
                <w:rStyle w:val="Bold"/>
              </w:rPr>
              <w:t>Description</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rPr>
                <w:rStyle w:val="Bold"/>
              </w:rPr>
              <w:t>Level of need</w:t>
            </w:r>
          </w:p>
        </w:tc>
      </w:tr>
      <w:tr w:rsidR="00BF01D8">
        <w:tblPrEx>
          <w:tblCellMar>
            <w:top w:w="0" w:type="dxa"/>
            <w:bottom w:w="0" w:type="dxa"/>
          </w:tblCellMar>
        </w:tblPrEx>
        <w:trPr>
          <w:trHeight w:val="55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Able</w:t>
            </w:r>
            <w:r>
              <w:t xml:space="preserve"> to take adequate food and drink by mouth to meet all nutritional requirements.</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No needs</w:t>
            </w:r>
          </w:p>
        </w:tc>
      </w:tr>
      <w:tr w:rsidR="00BF01D8">
        <w:tblPrEx>
          <w:tblCellMar>
            <w:top w:w="0" w:type="dxa"/>
            <w:bottom w:w="0" w:type="dxa"/>
          </w:tblCellMar>
        </w:tblPrEx>
        <w:trPr>
          <w:trHeight w:val="152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Needs supervision, prompting with meals, or may need feeding and/or a special diet (for example to manage food intolerances/allergies).</w:t>
            </w:r>
          </w:p>
          <w:p w:rsidR="00BF01D8" w:rsidRDefault="00CB4F73">
            <w:pPr>
              <w:pStyle w:val="NoSpacing"/>
            </w:pPr>
            <w:r>
              <w:rPr>
                <w:rStyle w:val="DHGreen"/>
              </w:rPr>
              <w:t>OR</w:t>
            </w:r>
          </w:p>
          <w:p w:rsidR="00BF01D8" w:rsidRDefault="00CB4F73">
            <w:pPr>
              <w:pStyle w:val="NoSpacing"/>
            </w:pPr>
            <w:r>
              <w:t>Able to take food and drink</w:t>
            </w:r>
            <w:r>
              <w:t xml:space="preserve"> by mouth but requires additional/supplementary feeding.</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Low</w:t>
            </w:r>
          </w:p>
          <w:p w:rsidR="00BF01D8" w:rsidRDefault="00BF01D8"/>
        </w:tc>
      </w:tr>
      <w:tr w:rsidR="00BF01D8">
        <w:tblPrEx>
          <w:tblCellMar>
            <w:top w:w="0" w:type="dxa"/>
            <w:bottom w:w="0" w:type="dxa"/>
          </w:tblCellMar>
        </w:tblPrEx>
        <w:trPr>
          <w:trHeight w:val="40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Needs feeding to ensure adequate intake of food and takes a long time (half an hour or more), including liquidised feed.</w:t>
            </w:r>
          </w:p>
          <w:p w:rsidR="00BF01D8" w:rsidRDefault="00CB4F73">
            <w:pPr>
              <w:pStyle w:val="NoSpacing"/>
            </w:pPr>
            <w:r>
              <w:rPr>
                <w:rStyle w:val="DHGreen"/>
              </w:rPr>
              <w:t>OR</w:t>
            </w:r>
          </w:p>
          <w:p w:rsidR="00BF01D8" w:rsidRDefault="00CB4F73">
            <w:pPr>
              <w:pStyle w:val="NoSpacing"/>
            </w:pPr>
            <w:r>
              <w:t>Unable to take any food and drink by mouth, but all nutritional req</w:t>
            </w:r>
            <w:r>
              <w:t>uirements are being adequately maintained by artificial means, for example via a non-problematic  PEG.</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Moderate</w:t>
            </w:r>
          </w:p>
        </w:tc>
      </w:tr>
      <w:tr w:rsidR="00BF01D8">
        <w:tblPrEx>
          <w:tblCellMar>
            <w:top w:w="0" w:type="dxa"/>
            <w:bottom w:w="0" w:type="dxa"/>
          </w:tblCellMar>
        </w:tblPrEx>
        <w:trPr>
          <w:trHeight w:val="372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Dysphagia requiring skilled intervention to ensure adequate nutrition/hydration and minimise the risk of choking and aspiration to maintain </w:t>
            </w:r>
            <w:r>
              <w:t>airway.</w:t>
            </w:r>
          </w:p>
          <w:p w:rsidR="00BF01D8" w:rsidRDefault="00CB4F73">
            <w:pPr>
              <w:pStyle w:val="NoSpacing"/>
            </w:pPr>
            <w:r>
              <w:rPr>
                <w:rStyle w:val="DHGreen"/>
              </w:rPr>
              <w:t>OR</w:t>
            </w:r>
          </w:p>
          <w:p w:rsidR="00BF01D8" w:rsidRDefault="00CB4F73">
            <w:pPr>
              <w:pStyle w:val="NoSpacing"/>
            </w:pPr>
            <w:r>
              <w:t>Subcutaneous fluids that are managed by the individual or specifically trained carers or care workers.</w:t>
            </w:r>
          </w:p>
          <w:p w:rsidR="00BF01D8" w:rsidRDefault="00CB4F73">
            <w:pPr>
              <w:pStyle w:val="NoSpacing"/>
            </w:pPr>
            <w:r>
              <w:rPr>
                <w:rStyle w:val="DHGreen"/>
              </w:rPr>
              <w:t>OR</w:t>
            </w:r>
          </w:p>
          <w:p w:rsidR="00BF01D8" w:rsidRDefault="00CB4F73">
            <w:pPr>
              <w:pStyle w:val="NoSpacing"/>
            </w:pPr>
            <w:r>
              <w:t>Nutritional status “at risk” and may be associated with unintended, significant weight loss.</w:t>
            </w:r>
          </w:p>
          <w:p w:rsidR="00BF01D8" w:rsidRDefault="00CB4F73">
            <w:pPr>
              <w:pStyle w:val="NoSpacing"/>
            </w:pPr>
            <w:r>
              <w:rPr>
                <w:rStyle w:val="DHGreen"/>
              </w:rPr>
              <w:t>OR</w:t>
            </w:r>
          </w:p>
          <w:p w:rsidR="00BF01D8" w:rsidRDefault="00CB4F73">
            <w:pPr>
              <w:pStyle w:val="NoSpacing"/>
            </w:pPr>
            <w:r>
              <w:t>Significant weight loss or gain due to iden</w:t>
            </w:r>
            <w:r>
              <w:t>tified eating disorder.</w:t>
            </w:r>
          </w:p>
          <w:p w:rsidR="00BF01D8" w:rsidRDefault="00CB4F73">
            <w:pPr>
              <w:pStyle w:val="NoSpacing"/>
            </w:pPr>
            <w:r>
              <w:rPr>
                <w:rStyle w:val="DHGreen"/>
              </w:rPr>
              <w:t>OR</w:t>
            </w:r>
          </w:p>
          <w:p w:rsidR="00BF01D8" w:rsidRDefault="00CB4F73">
            <w:pPr>
              <w:pStyle w:val="NoSpacing"/>
            </w:pPr>
            <w:r>
              <w:t>Problems relating to a feeding device (for example PEG) that require skilled assessment and review.</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High</w:t>
            </w:r>
          </w:p>
          <w:p w:rsidR="00BF01D8" w:rsidRDefault="00BF01D8"/>
        </w:tc>
      </w:tr>
      <w:tr w:rsidR="00BF01D8">
        <w:tblPrEx>
          <w:tblCellMar>
            <w:top w:w="0" w:type="dxa"/>
            <w:bottom w:w="0" w:type="dxa"/>
          </w:tblCellMar>
        </w:tblPrEx>
        <w:trPr>
          <w:trHeight w:val="193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Unable to take food and drink by mouth. All nutritional requirements taken by artificial means requiring ongoing skilled</w:t>
            </w:r>
            <w:r>
              <w:t xml:space="preserve"> professional intervention or monitoring over a 24 hour period to ensure nutrition/hydration, for example I.V. fluids/total parenteral nutrition (TPN).</w:t>
            </w:r>
          </w:p>
          <w:p w:rsidR="00BF01D8" w:rsidRDefault="00CB4F73">
            <w:r>
              <w:rPr>
                <w:rStyle w:val="DHGreen"/>
              </w:rPr>
              <w:t>OR</w:t>
            </w:r>
          </w:p>
          <w:p w:rsidR="00BF01D8" w:rsidRDefault="00CB4F73">
            <w:r>
              <w:t>Unable to take food and drink by mouth, intervention inappropriate or impossible.</w:t>
            </w:r>
          </w:p>
        </w:tc>
        <w:tc>
          <w:tcPr>
            <w:tcW w:w="18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Severe</w:t>
            </w:r>
          </w:p>
          <w:p w:rsidR="00BF01D8" w:rsidRDefault="00BF01D8"/>
        </w:tc>
      </w:tr>
    </w:tbl>
    <w:p w:rsidR="00BF01D8" w:rsidRDefault="00BF01D8"/>
    <w:p w:rsidR="00BF01D8" w:rsidRDefault="00BF01D8"/>
    <w:p w:rsidR="00BF01D8" w:rsidRDefault="00BF01D8"/>
    <w:p w:rsidR="00BF01D8" w:rsidRDefault="00BF01D8"/>
    <w:p w:rsidR="00BF01D8" w:rsidRDefault="00BF01D8">
      <w:pPr>
        <w:pStyle w:val="Heading3"/>
        <w:rPr>
          <w:b w:val="0"/>
          <w:color w:val="auto"/>
          <w:sz w:val="24"/>
        </w:rPr>
      </w:pPr>
    </w:p>
    <w:p w:rsidR="00BF01D8" w:rsidRDefault="00BF01D8"/>
    <w:p w:rsidR="00BF01D8" w:rsidRDefault="00CB4F73">
      <w:pPr>
        <w:pStyle w:val="Heading3"/>
      </w:pPr>
      <w:r>
        <w:lastRenderedPageBreak/>
        <w:t>Decision Support Tool for NHS Continuing Healthcare</w:t>
      </w:r>
      <w:r>
        <w:br/>
      </w:r>
      <w:r>
        <w:t>Section 2 – Care Domains</w:t>
      </w:r>
    </w:p>
    <w:p w:rsidR="00BF01D8" w:rsidRDefault="00CB4F73">
      <w:r>
        <w:t>Please refer to the user notes</w:t>
      </w:r>
    </w:p>
    <w:p w:rsidR="00BF01D8" w:rsidRDefault="00CB4F73">
      <w:r>
        <w:rPr>
          <w:rStyle w:val="Bold"/>
        </w:rPr>
        <w:t xml:space="preserve">3. </w:t>
      </w:r>
      <w:r>
        <w:rPr>
          <w:rStyle w:val="DHGreen"/>
        </w:rPr>
        <w:t>Continence</w:t>
      </w:r>
      <w:r>
        <w:t>: Where continence problems are identified, a full continence assessment exists or has been undertaken as part of the assessment proces</w:t>
      </w:r>
      <w:r>
        <w:t>s, any underlying conditions identified, and the impact and likelihood of any risk factors evaluated.</w:t>
      </w:r>
    </w:p>
    <w:tbl>
      <w:tblPr>
        <w:tblW w:w="10486" w:type="dxa"/>
        <w:tblInd w:w="85" w:type="dxa"/>
        <w:tblLayout w:type="fixed"/>
        <w:tblCellMar>
          <w:left w:w="10" w:type="dxa"/>
          <w:right w:w="10" w:type="dxa"/>
        </w:tblCellMar>
        <w:tblLook w:val="0000" w:firstRow="0" w:lastRow="0" w:firstColumn="0" w:lastColumn="0" w:noHBand="0" w:noVBand="0"/>
      </w:tblPr>
      <w:tblGrid>
        <w:gridCol w:w="10486"/>
      </w:tblGrid>
      <w:tr w:rsidR="00BF01D8">
        <w:tblPrEx>
          <w:tblCellMar>
            <w:top w:w="0" w:type="dxa"/>
            <w:bottom w:w="0" w:type="dxa"/>
          </w:tblCellMar>
        </w:tblPrEx>
        <w:trPr>
          <w:trHeight w:val="11299"/>
        </w:trPr>
        <w:tc>
          <w:tcPr>
            <w:tcW w:w="10486"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CB4F73">
            <w:r>
              <w:rPr>
                <w:rStyle w:val="Bold"/>
              </w:rPr>
              <w:t>1. Describe the actual needs of the individual, providing the evidence that informs the decision overleaf on which level is appropriate, including the fre</w:t>
            </w:r>
            <w:r>
              <w:rPr>
                <w:rStyle w:val="Bold"/>
              </w:rPr>
              <w:t>quency and intensity of need, unpredictability, deterioration and any instability.</w:t>
            </w:r>
          </w:p>
          <w:p w:rsidR="00BF01D8" w:rsidRDefault="00CB4F73">
            <w:r>
              <w:rPr>
                <w:rStyle w:val="Bold"/>
              </w:rPr>
              <w:t>2. Take into account any aspect of continence care associated with behaviour in the Behaviour domain.</w:t>
            </w:r>
          </w:p>
          <w:p w:rsidR="00BF01D8" w:rsidRDefault="00CB4F73">
            <w:r>
              <w:rPr>
                <w:rStyle w:val="Bold"/>
              </w:rPr>
              <w:t>3. Circle the assessed level overleaf.</w:t>
            </w:r>
          </w:p>
        </w:tc>
      </w:tr>
    </w:tbl>
    <w:p w:rsidR="00BF01D8" w:rsidRDefault="00BF01D8">
      <w:pPr>
        <w:pStyle w:val="Heading3"/>
      </w:pPr>
    </w:p>
    <w:p w:rsidR="00BF01D8" w:rsidRDefault="00CB4F73">
      <w:pPr>
        <w:pStyle w:val="Heading3"/>
      </w:pPr>
      <w:r>
        <w:lastRenderedPageBreak/>
        <w:t xml:space="preserve">Decision Support Tool for NHS </w:t>
      </w:r>
      <w:r>
        <w:t>Continuing Healthcare</w:t>
      </w:r>
      <w:r>
        <w:br/>
      </w:r>
      <w:r>
        <w:t>Section 2 – Care Domains</w:t>
      </w:r>
    </w:p>
    <w:p w:rsidR="00BF01D8" w:rsidRDefault="00CB4F73">
      <w:r>
        <w:t>Please refer to the user notes</w:t>
      </w:r>
    </w:p>
    <w:p w:rsidR="00BF01D8" w:rsidRDefault="00CB4F73">
      <w:r>
        <w:rPr>
          <w:rStyle w:val="Bold"/>
        </w:rPr>
        <w:t>3. Continence</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BF01D8">
        <w:tblPrEx>
          <w:tblCellMar>
            <w:top w:w="0" w:type="dxa"/>
            <w:bottom w:w="0" w:type="dxa"/>
          </w:tblCellMar>
        </w:tblPrEx>
        <w:trPr>
          <w:trHeight w:val="64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Description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Level of need</w:t>
            </w:r>
          </w:p>
          <w:p w:rsidR="00BF01D8" w:rsidRDefault="00BF01D8">
            <w:pPr>
              <w:pStyle w:val="NoSpacing"/>
            </w:pPr>
          </w:p>
        </w:tc>
      </w:tr>
      <w:tr w:rsidR="00BF01D8">
        <w:tblPrEx>
          <w:tblCellMar>
            <w:top w:w="0" w:type="dxa"/>
            <w:bottom w:w="0" w:type="dxa"/>
          </w:tblCellMar>
        </w:tblPrEx>
        <w:trPr>
          <w:trHeight w:val="698"/>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Continent of urine and faeces.</w:t>
            </w:r>
          </w:p>
          <w:p w:rsidR="00BF01D8" w:rsidRDefault="00BF01D8">
            <w:pPr>
              <w:pStyle w:val="NoSpacing"/>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No needs</w:t>
            </w:r>
          </w:p>
          <w:p w:rsidR="00BF01D8" w:rsidRDefault="00BF01D8">
            <w:pPr>
              <w:pStyle w:val="NoSpacing"/>
            </w:pPr>
          </w:p>
        </w:tc>
      </w:tr>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Continence care is routine on a day-to-day basis;</w:t>
            </w:r>
          </w:p>
          <w:p w:rsidR="00BF01D8" w:rsidRDefault="00CB4F73">
            <w:pPr>
              <w:pStyle w:val="NoSpacing"/>
            </w:pPr>
            <w:r>
              <w:t xml:space="preserve">Incontinence of urine managed through, </w:t>
            </w:r>
            <w:r>
              <w:t>for example, medication, regular toileting, use of penile sheaths, etc.</w:t>
            </w:r>
          </w:p>
          <w:p w:rsidR="00BF01D8" w:rsidRDefault="00CB4F73">
            <w:pPr>
              <w:pStyle w:val="NoSpacing"/>
            </w:pPr>
            <w:r>
              <w:rPr>
                <w:rStyle w:val="DHGreen"/>
              </w:rPr>
              <w:t>AND</w:t>
            </w:r>
          </w:p>
          <w:p w:rsidR="00BF01D8" w:rsidRDefault="00CB4F73">
            <w:pPr>
              <w:pStyle w:val="NoSpacing"/>
            </w:pPr>
            <w:r>
              <w:t>is able to maintain full control over bowel movements or has a stable stoma, or may have occasional faecal incontinence/constipation.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Low</w:t>
            </w:r>
          </w:p>
          <w:p w:rsidR="00BF01D8" w:rsidRDefault="00BF01D8">
            <w:pPr>
              <w:pStyle w:val="NoSpacing"/>
            </w:pPr>
          </w:p>
        </w:tc>
      </w:tr>
      <w:tr w:rsidR="00BF01D8">
        <w:tblPrEx>
          <w:tblCellMar>
            <w:top w:w="0" w:type="dxa"/>
            <w:bottom w:w="0" w:type="dxa"/>
          </w:tblCellMar>
        </w:tblPrEx>
        <w:trPr>
          <w:trHeight w:val="115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Continence care is routine but </w:t>
            </w:r>
            <w:r>
              <w:t>requires monitoring to minimise risks, for example those associated with urinary catheters, double incontinence, chronic urinary tract infections and/or the management of constipation or other bowel problems.</w:t>
            </w:r>
          </w:p>
          <w:p w:rsidR="00BF01D8" w:rsidRDefault="00BF01D8">
            <w:pPr>
              <w:pStyle w:val="NoSpacing"/>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Moderate</w:t>
            </w:r>
          </w:p>
          <w:p w:rsidR="00BF01D8" w:rsidRDefault="00BF01D8">
            <w:pPr>
              <w:pStyle w:val="NoSpacing"/>
            </w:pPr>
          </w:p>
        </w:tc>
      </w:tr>
      <w:tr w:rsidR="00BF01D8">
        <w:tblPrEx>
          <w:tblCellMar>
            <w:top w:w="0" w:type="dxa"/>
            <w:bottom w:w="0" w:type="dxa"/>
          </w:tblCellMar>
        </w:tblPrEx>
        <w:trPr>
          <w:trHeight w:val="93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Continence care is problematic </w:t>
            </w:r>
            <w:r>
              <w:t>and requires timely and skilled intervention, beyond routine care (for example frequent bladder wash outs/irrigation, manual evacuations, frequent re-catheterisation).</w:t>
            </w:r>
          </w:p>
          <w:p w:rsidR="00BF01D8" w:rsidRDefault="00BF01D8">
            <w:pPr>
              <w:pStyle w:val="NoSpacing"/>
            </w:pP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High</w:t>
            </w:r>
          </w:p>
          <w:p w:rsidR="00BF01D8" w:rsidRDefault="00BF01D8">
            <w:pPr>
              <w:pStyle w:val="NoSpacing"/>
            </w:pPr>
          </w:p>
        </w:tc>
      </w:tr>
    </w:tbl>
    <w:p w:rsidR="00BF01D8" w:rsidRDefault="00BF01D8">
      <w:pPr>
        <w:pStyle w:val="NoSpacing"/>
      </w:pPr>
    </w:p>
    <w:p w:rsidR="00BF01D8" w:rsidRDefault="00BF01D8"/>
    <w:p w:rsidR="00BF01D8" w:rsidRDefault="00BF01D8"/>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spacing w:before="0" w:after="0" w:line="240" w:lineRule="auto"/>
      </w:pPr>
    </w:p>
    <w:p w:rsidR="00BF01D8" w:rsidRDefault="00BF01D8">
      <w:pPr>
        <w:pStyle w:val="Heading3"/>
      </w:pPr>
    </w:p>
    <w:p w:rsidR="00BF01D8" w:rsidRDefault="00BF01D8">
      <w:pPr>
        <w:pStyle w:val="Heading3"/>
      </w:pPr>
    </w:p>
    <w:p w:rsidR="00BF01D8" w:rsidRDefault="00BF01D8">
      <w:pPr>
        <w:pStyle w:val="Heading3"/>
      </w:pPr>
    </w:p>
    <w:p w:rsidR="00BF01D8" w:rsidRDefault="00BF01D8">
      <w:pPr>
        <w:pStyle w:val="Heading3"/>
      </w:pPr>
    </w:p>
    <w:p w:rsidR="00BF01D8" w:rsidRDefault="00CB4F73">
      <w:pPr>
        <w:pStyle w:val="Heading3"/>
      </w:pPr>
      <w:r>
        <w:lastRenderedPageBreak/>
        <w:t>Decision Support Tool for NHS Continuing Healthcare</w:t>
      </w:r>
      <w:r>
        <w:br/>
      </w:r>
      <w:r>
        <w:t>Section 2 – Care Domains</w:t>
      </w:r>
    </w:p>
    <w:p w:rsidR="00BF01D8" w:rsidRDefault="00CB4F73">
      <w:pPr>
        <w:pStyle w:val="Caption"/>
        <w:rPr>
          <w:b w:val="0"/>
          <w:bCs w:val="0"/>
          <w:sz w:val="24"/>
        </w:rPr>
      </w:pPr>
      <w:r>
        <w:rPr>
          <w:b w:val="0"/>
          <w:bCs w:val="0"/>
          <w:sz w:val="24"/>
        </w:rPr>
        <w:t>Please refer to the user notes</w:t>
      </w:r>
    </w:p>
    <w:p w:rsidR="00BF01D8" w:rsidRDefault="00CB4F73">
      <w:r>
        <w:t xml:space="preserve">4. </w:t>
      </w:r>
      <w:r>
        <w:rPr>
          <w:rStyle w:val="DHGreen"/>
        </w:rPr>
        <w:t>Skin</w:t>
      </w:r>
      <w:r>
        <w:t xml:space="preserve"> (including tissue viability): Evidence of wounds should derive from a wound assessment chart or tissue viability assessment completed by an appropriate professional. Here, a skin condition is </w:t>
      </w:r>
      <w:r>
        <w:t>taken to mean any condition which affects or has the potential to affect the integrity of the skin.</w:t>
      </w:r>
    </w:p>
    <w:tbl>
      <w:tblPr>
        <w:tblW w:w="10422" w:type="dxa"/>
        <w:tblInd w:w="85" w:type="dxa"/>
        <w:tblLayout w:type="fixed"/>
        <w:tblCellMar>
          <w:left w:w="10" w:type="dxa"/>
          <w:right w:w="10" w:type="dxa"/>
        </w:tblCellMar>
        <w:tblLook w:val="0000" w:firstRow="0" w:lastRow="0" w:firstColumn="0" w:lastColumn="0" w:noHBand="0" w:noVBand="0"/>
      </w:tblPr>
      <w:tblGrid>
        <w:gridCol w:w="10422"/>
      </w:tblGrid>
      <w:tr w:rsidR="00BF01D8">
        <w:tblPrEx>
          <w:tblCellMar>
            <w:top w:w="0" w:type="dxa"/>
            <w:bottom w:w="0" w:type="dxa"/>
          </w:tblCellMar>
        </w:tblPrEx>
        <w:trPr>
          <w:trHeight w:val="10879"/>
        </w:trPr>
        <w:tc>
          <w:tcPr>
            <w:tcW w:w="10422"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CB4F73">
            <w:r>
              <w:rPr>
                <w:rStyle w:val="Bold"/>
              </w:rPr>
              <w:t>1. Describe the actual needs of the individual, providing the evidence that informs the decision overleaf on which level is appropriate, including the frequ</w:t>
            </w:r>
            <w:r>
              <w:rPr>
                <w:rStyle w:val="Bold"/>
              </w:rPr>
              <w:t>ency and intensity of need, unpredictability, deterioration and any instability.</w:t>
            </w:r>
          </w:p>
          <w:p w:rsidR="00BF01D8" w:rsidRDefault="00CB4F73">
            <w:r>
              <w:rPr>
                <w:rStyle w:val="Bold"/>
              </w:rPr>
              <w:t>2. Circle the assessed level overleaf.</w:t>
            </w:r>
          </w:p>
        </w:tc>
      </w:tr>
    </w:tbl>
    <w:p w:rsidR="00BF01D8" w:rsidRDefault="00BF01D8">
      <w:pPr>
        <w:pStyle w:val="Heading3"/>
      </w:pPr>
    </w:p>
    <w:p w:rsidR="00BF01D8" w:rsidRDefault="00BF01D8">
      <w:pPr>
        <w:pStyle w:val="Heading3"/>
      </w:pPr>
    </w:p>
    <w:p w:rsidR="00BF01D8" w:rsidRDefault="00CB4F73">
      <w:pPr>
        <w:pStyle w:val="Heading3"/>
      </w:pPr>
      <w:r>
        <w:lastRenderedPageBreak/>
        <w:t>Decision Support Tool for NHS Continuing Healthcare</w:t>
      </w:r>
      <w:r>
        <w:br/>
      </w:r>
      <w:r>
        <w:t>Section 2 – Care Domains</w:t>
      </w:r>
    </w:p>
    <w:p w:rsidR="00BF01D8" w:rsidRDefault="00CB4F73">
      <w:r>
        <w:t>Please refer to the user notes</w:t>
      </w:r>
    </w:p>
    <w:p w:rsidR="00BF01D8" w:rsidRDefault="00CB4F73">
      <w:r>
        <w:rPr>
          <w:rStyle w:val="Bold"/>
        </w:rPr>
        <w:t>4. Skin (including tissue</w:t>
      </w:r>
      <w:r>
        <w:rPr>
          <w:rStyle w:val="Bold"/>
        </w:rPr>
        <w:t xml:space="preserve"> viability)</w:t>
      </w:r>
    </w:p>
    <w:tbl>
      <w:tblPr>
        <w:tblW w:w="10560" w:type="dxa"/>
        <w:tblInd w:w="-137" w:type="dxa"/>
        <w:tblLayout w:type="fixed"/>
        <w:tblCellMar>
          <w:left w:w="10" w:type="dxa"/>
          <w:right w:w="10" w:type="dxa"/>
        </w:tblCellMar>
        <w:tblLook w:val="0000" w:firstRow="0" w:lastRow="0" w:firstColumn="0" w:lastColumn="0" w:noHBand="0" w:noVBand="0"/>
      </w:tblPr>
      <w:tblGrid>
        <w:gridCol w:w="9214"/>
        <w:gridCol w:w="1346"/>
      </w:tblGrid>
      <w:tr w:rsidR="00BF01D8">
        <w:tblPrEx>
          <w:tblCellMar>
            <w:top w:w="0" w:type="dxa"/>
            <w:bottom w:w="0" w:type="dxa"/>
          </w:tblCellMar>
        </w:tblPrEx>
        <w:trPr>
          <w:trHeight w:val="77"/>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rPr>
                <w:rStyle w:val="Bold"/>
              </w:rPr>
              <w:t>Description</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rPr>
                <w:rStyle w:val="Bold"/>
              </w:rPr>
              <w:t>Level of need</w:t>
            </w:r>
          </w:p>
        </w:tc>
      </w:tr>
      <w:tr w:rsidR="00BF01D8">
        <w:tblPrEx>
          <w:tblCellMar>
            <w:top w:w="0" w:type="dxa"/>
            <w:bottom w:w="0" w:type="dxa"/>
          </w:tblCellMar>
        </w:tblPrEx>
        <w:trPr>
          <w:trHeight w:val="98"/>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No risk of pressure damage or skin condition.</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No needs</w:t>
            </w:r>
          </w:p>
        </w:tc>
      </w:tr>
      <w:tr w:rsidR="00BF01D8">
        <w:tblPrEx>
          <w:tblCellMar>
            <w:top w:w="0" w:type="dxa"/>
            <w:bottom w:w="0" w:type="dxa"/>
          </w:tblCellMar>
        </w:tblPrEx>
        <w:trPr>
          <w:trHeight w:val="2621"/>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Risk of skin breakdown which requires preventative intervention once a day or less than daily without which skin integrity would break down.</w:t>
            </w:r>
          </w:p>
          <w:p w:rsidR="00BF01D8" w:rsidRDefault="00CB4F73">
            <w:pPr>
              <w:pStyle w:val="NoSpacing"/>
            </w:pPr>
            <w:r>
              <w:rPr>
                <w:rStyle w:val="DHGreen"/>
              </w:rPr>
              <w:t>OR</w:t>
            </w:r>
          </w:p>
          <w:p w:rsidR="00BF01D8" w:rsidRDefault="00CB4F73">
            <w:pPr>
              <w:pStyle w:val="NoSpacing"/>
            </w:pPr>
            <w:r>
              <w:t xml:space="preserve">Evidence of </w:t>
            </w:r>
            <w:r>
              <w:t xml:space="preserve">pressure damage and/or pressure ulcer(s) either with ‘discolouration of intact skin’ or a minor wound(s). </w:t>
            </w:r>
          </w:p>
          <w:p w:rsidR="00BF01D8" w:rsidRDefault="00CB4F73">
            <w:pPr>
              <w:pStyle w:val="NoSpacing"/>
            </w:pPr>
            <w:r>
              <w:t>OR</w:t>
            </w:r>
          </w:p>
          <w:p w:rsidR="00BF01D8" w:rsidRDefault="00CB4F73">
            <w:pPr>
              <w:pStyle w:val="NoSpacing"/>
            </w:pPr>
            <w:r>
              <w:t>A skin condition that requires monitoring or reassessment less than daily and that is responding to treatment or does not currently require treatm</w:t>
            </w:r>
            <w:r>
              <w:t>ent.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Low</w:t>
            </w:r>
          </w:p>
          <w:p w:rsidR="00BF01D8" w:rsidRDefault="00BF01D8">
            <w:pPr>
              <w:pStyle w:val="NoSpacing"/>
            </w:pPr>
          </w:p>
        </w:tc>
      </w:tr>
      <w:tr w:rsidR="00BF01D8">
        <w:tblPrEx>
          <w:tblCellMar>
            <w:top w:w="0" w:type="dxa"/>
            <w:bottom w:w="0" w:type="dxa"/>
          </w:tblCellMar>
        </w:tblPrEx>
        <w:trPr>
          <w:trHeight w:val="2403"/>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Risk of skin breakdown which requires preventative intervention several times each day without which skin integrity would break down.</w:t>
            </w:r>
          </w:p>
          <w:p w:rsidR="00BF01D8" w:rsidRDefault="00CB4F73">
            <w:pPr>
              <w:pStyle w:val="NoSpacing"/>
            </w:pPr>
            <w:r>
              <w:rPr>
                <w:rStyle w:val="DHGreen"/>
              </w:rPr>
              <w:t>OR</w:t>
            </w:r>
          </w:p>
          <w:p w:rsidR="00BF01D8" w:rsidRDefault="00CB4F73">
            <w:pPr>
              <w:pStyle w:val="NoSpacing"/>
            </w:pPr>
            <w:r>
              <w:t xml:space="preserve">Pressure damage or open wound(s), pressure ulcer(s) with ‘partial thickness skin loss involving epidermis </w:t>
            </w:r>
            <w:r>
              <w:t>and/or dermis’, which is responding to treatment.</w:t>
            </w:r>
          </w:p>
          <w:p w:rsidR="00BF01D8" w:rsidRDefault="00CB4F73">
            <w:pPr>
              <w:pStyle w:val="NoSpacing"/>
            </w:pPr>
            <w:r>
              <w:rPr>
                <w:rStyle w:val="DHGreen"/>
              </w:rPr>
              <w:t>OR</w:t>
            </w:r>
          </w:p>
          <w:p w:rsidR="00BF01D8" w:rsidRDefault="00CB4F73">
            <w:pPr>
              <w:pStyle w:val="NoSpacing"/>
            </w:pPr>
            <w:r>
              <w:t>An identified skin condition that requires a minimum of daily treatment, or daily monitoring/reassessment to ensure that it is responding to treatment.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Moderate</w:t>
            </w:r>
          </w:p>
          <w:p w:rsidR="00BF01D8" w:rsidRDefault="00BF01D8">
            <w:pPr>
              <w:pStyle w:val="NoSpacing"/>
            </w:pPr>
          </w:p>
        </w:tc>
      </w:tr>
      <w:tr w:rsidR="00BF01D8">
        <w:tblPrEx>
          <w:tblCellMar>
            <w:top w:w="0" w:type="dxa"/>
            <w:bottom w:w="0" w:type="dxa"/>
          </w:tblCellMar>
        </w:tblPrEx>
        <w:trPr>
          <w:trHeight w:val="2395"/>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Pressure damage or open wound(s), </w:t>
            </w:r>
            <w:r>
              <w:t>pressure ulcer(s) with ‘partial thickness skin loss involving epidermis and/or dermis’, which is not responding to treatment</w:t>
            </w:r>
          </w:p>
          <w:p w:rsidR="00BF01D8" w:rsidRDefault="00CB4F73">
            <w:pPr>
              <w:pStyle w:val="NoSpacing"/>
            </w:pPr>
            <w:r>
              <w:rPr>
                <w:rStyle w:val="DHGreen"/>
              </w:rPr>
              <w:t>OR</w:t>
            </w:r>
          </w:p>
          <w:p w:rsidR="00BF01D8" w:rsidRDefault="00CB4F73">
            <w:pPr>
              <w:pStyle w:val="NoSpacing"/>
            </w:pPr>
            <w:r>
              <w:t xml:space="preserve">Pressure damage or open wound(s), pressure ulcer(s) with ‘full thickness skin loss involving damage or necrosis to subcutaneous </w:t>
            </w:r>
            <w:r>
              <w:t>tissue, but not extending to underlying bone, tendon or joint capsule’, which is/are responding to treatment.</w:t>
            </w:r>
          </w:p>
          <w:p w:rsidR="00BF01D8" w:rsidRDefault="00CB4F73">
            <w:pPr>
              <w:pStyle w:val="NoSpacing"/>
            </w:pPr>
            <w:r>
              <w:rPr>
                <w:rStyle w:val="DHGreen"/>
              </w:rPr>
              <w:t>OR</w:t>
            </w:r>
          </w:p>
          <w:p w:rsidR="00BF01D8" w:rsidRDefault="00CB4F73">
            <w:pPr>
              <w:pStyle w:val="NoSpacing"/>
            </w:pPr>
            <w:r>
              <w:t>Specialist dressing regime in place; responding to treatment.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High</w:t>
            </w:r>
          </w:p>
          <w:p w:rsidR="00BF01D8" w:rsidRDefault="00BF01D8">
            <w:pPr>
              <w:pStyle w:val="NoSpacing"/>
            </w:pPr>
          </w:p>
        </w:tc>
      </w:tr>
      <w:tr w:rsidR="00BF01D8">
        <w:tblPrEx>
          <w:tblCellMar>
            <w:top w:w="0" w:type="dxa"/>
            <w:bottom w:w="0" w:type="dxa"/>
          </w:tblCellMar>
        </w:tblPrEx>
        <w:trPr>
          <w:trHeight w:val="126"/>
        </w:trPr>
        <w:tc>
          <w:tcPr>
            <w:tcW w:w="9214"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Open wound(s), pressure ulcer(s) with ‘full thickness skin loss </w:t>
            </w:r>
            <w:r>
              <w:t xml:space="preserve">involving damage </w:t>
            </w:r>
          </w:p>
          <w:p w:rsidR="00BF01D8" w:rsidRDefault="00CB4F73">
            <w:pPr>
              <w:pStyle w:val="NoSpacing"/>
            </w:pPr>
            <w:r>
              <w:t>Open wound(s), pressure ulcer(s) with ‘full thickness skin loss with extensive or necrosis to subcutaneous tissue, but not extending to underlying bone, tendon or joint capsule’ which are not responding to treatment and require regular mo</w:t>
            </w:r>
            <w:r>
              <w:t>nitoring/reassessment.</w:t>
            </w:r>
          </w:p>
          <w:p w:rsidR="00BF01D8" w:rsidRDefault="00CB4F73">
            <w:pPr>
              <w:pStyle w:val="NoSpacing"/>
            </w:pPr>
            <w:r>
              <w:rPr>
                <w:rStyle w:val="DHGreen"/>
              </w:rPr>
              <w:t>OR</w:t>
            </w:r>
          </w:p>
          <w:p w:rsidR="00BF01D8" w:rsidRDefault="00CB4F73">
            <w:pPr>
              <w:pStyle w:val="NoSpacing"/>
            </w:pPr>
            <w:r>
              <w:t>destruction and tissue necrosis extending to underlying bone, tendon or joint capsule’ or above</w:t>
            </w:r>
          </w:p>
          <w:p w:rsidR="00BF01D8" w:rsidRDefault="00CB4F73">
            <w:pPr>
              <w:pStyle w:val="NoSpacing"/>
            </w:pPr>
            <w:r>
              <w:rPr>
                <w:rStyle w:val="DHGreen"/>
              </w:rPr>
              <w:t>OR</w:t>
            </w:r>
          </w:p>
          <w:p w:rsidR="00BF01D8" w:rsidRDefault="00CB4F73">
            <w:pPr>
              <w:pStyle w:val="NoSpacing"/>
            </w:pPr>
            <w:r>
              <w:t>Multiple wounds which are not responding to treatment.</w:t>
            </w:r>
          </w:p>
        </w:tc>
        <w:tc>
          <w:tcPr>
            <w:tcW w:w="13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  Severe</w:t>
            </w:r>
          </w:p>
          <w:p w:rsidR="00BF01D8" w:rsidRDefault="00BF01D8">
            <w:pPr>
              <w:pStyle w:val="NoSpacing"/>
            </w:pPr>
          </w:p>
        </w:tc>
      </w:tr>
    </w:tbl>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CB4F73">
      <w:pPr>
        <w:pStyle w:val="Heading3"/>
      </w:pPr>
      <w:r>
        <w:lastRenderedPageBreak/>
        <w:t>Decision Support Tool for NHS Continuing Healthcare</w:t>
      </w:r>
      <w:r>
        <w:br/>
      </w:r>
      <w:r>
        <w:t>Section</w:t>
      </w:r>
      <w:r>
        <w:t xml:space="preserve"> 2 – Care Domains</w:t>
      </w:r>
    </w:p>
    <w:p w:rsidR="00BF01D8" w:rsidRDefault="00CB4F73">
      <w:pPr>
        <w:pStyle w:val="NoSpacing"/>
      </w:pPr>
      <w:r>
        <w:t>Please refer to the user notes</w:t>
      </w:r>
    </w:p>
    <w:p w:rsidR="00BF01D8" w:rsidRDefault="00BF01D8">
      <w:pPr>
        <w:pStyle w:val="NoSpacing"/>
      </w:pPr>
    </w:p>
    <w:p w:rsidR="00BF01D8" w:rsidRDefault="00CB4F73">
      <w:pPr>
        <w:pStyle w:val="NoSpacing"/>
      </w:pPr>
      <w:r>
        <w:t xml:space="preserve">5. </w:t>
      </w:r>
      <w:r>
        <w:rPr>
          <w:rStyle w:val="DHGreen"/>
        </w:rPr>
        <w:t>Mobility</w:t>
      </w:r>
      <w:r>
        <w:t xml:space="preserve">: This section considers individuals with impaired mobility. Please take other mobility issues such as wandering into account in the behaviour domain where relevant. Where mobility problems are </w:t>
      </w:r>
      <w:r>
        <w:t>indicated, an up-to-date Moving and Handling and Falls Risk Assessment should exist or have been undertaken and the impact and likelihood of any risk factors considered. It is important to note that the use of the word ‘high’ in any particular falls risk a</w:t>
      </w:r>
      <w:r>
        <w:t>ssessment tool does not necessarily equate to a high level need in this domain.</w:t>
      </w:r>
    </w:p>
    <w:tbl>
      <w:tblPr>
        <w:tblW w:w="10518" w:type="dxa"/>
        <w:tblInd w:w="85" w:type="dxa"/>
        <w:tblLayout w:type="fixed"/>
        <w:tblCellMar>
          <w:left w:w="10" w:type="dxa"/>
          <w:right w:w="10" w:type="dxa"/>
        </w:tblCellMar>
        <w:tblLook w:val="0000" w:firstRow="0" w:lastRow="0" w:firstColumn="0" w:lastColumn="0" w:noHBand="0" w:noVBand="0"/>
      </w:tblPr>
      <w:tblGrid>
        <w:gridCol w:w="10518"/>
      </w:tblGrid>
      <w:tr w:rsidR="00BF01D8">
        <w:tblPrEx>
          <w:tblCellMar>
            <w:top w:w="0" w:type="dxa"/>
            <w:bottom w:w="0" w:type="dxa"/>
          </w:tblCellMar>
        </w:tblPrEx>
        <w:trPr>
          <w:trHeight w:val="10599"/>
        </w:trPr>
        <w:tc>
          <w:tcPr>
            <w:tcW w:w="10518"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CB4F73">
            <w:pPr>
              <w:pStyle w:val="NoSpacing"/>
            </w:pPr>
            <w:r>
              <w:rPr>
                <w:rStyle w:val="Bold"/>
              </w:rPr>
              <w:t>1. Describe the actual needs of the individual, providing the evidence that informs the decision overleaf on which level is appropriate, with reference to movement and handling</w:t>
            </w:r>
            <w:r>
              <w:rPr>
                <w:rStyle w:val="Bold"/>
              </w:rPr>
              <w:t xml:space="preserve"> and falls risk assessments where relevant. Describe the frequency and intensity of need, unpredictability, deterioration and any instability.</w:t>
            </w:r>
          </w:p>
          <w:p w:rsidR="00BF01D8" w:rsidRDefault="00CB4F73">
            <w:pPr>
              <w:pStyle w:val="NoSpacing"/>
            </w:pPr>
            <w:r>
              <w:rPr>
                <w:rStyle w:val="Bold"/>
              </w:rPr>
              <w:t>2. Circle the assessed level overleaf.</w:t>
            </w:r>
          </w:p>
        </w:tc>
      </w:tr>
    </w:tbl>
    <w:p w:rsidR="00BF01D8" w:rsidRDefault="00BF01D8">
      <w:pPr>
        <w:pStyle w:val="Heading3"/>
      </w:pPr>
    </w:p>
    <w:p w:rsidR="00BF01D8" w:rsidRDefault="00CB4F73">
      <w:pPr>
        <w:pStyle w:val="Heading3"/>
      </w:pPr>
      <w:r>
        <w:lastRenderedPageBreak/>
        <w:t>Decision Support Tool for NHS Continuing Healthcare</w:t>
      </w:r>
      <w:r>
        <w:br/>
      </w:r>
      <w:r>
        <w:t xml:space="preserve">Section 2 – Care </w:t>
      </w:r>
      <w:r>
        <w:t>Domains</w:t>
      </w:r>
    </w:p>
    <w:p w:rsidR="00BF01D8" w:rsidRDefault="00CB4F73">
      <w:pPr>
        <w:pStyle w:val="NoSpacing"/>
      </w:pPr>
      <w:r>
        <w:t>Please refer to the user notes</w:t>
      </w:r>
    </w:p>
    <w:p w:rsidR="00BF01D8" w:rsidRDefault="00BF01D8">
      <w:pPr>
        <w:pStyle w:val="NoSpacing"/>
      </w:pPr>
    </w:p>
    <w:p w:rsidR="00BF01D8" w:rsidRDefault="00CB4F73">
      <w:pPr>
        <w:pStyle w:val="NoSpacing"/>
      </w:pPr>
      <w:r>
        <w:rPr>
          <w:rStyle w:val="Bold"/>
        </w:rPr>
        <w:t>5. Mobility</w:t>
      </w:r>
    </w:p>
    <w:tbl>
      <w:tblPr>
        <w:tblW w:w="10500" w:type="dxa"/>
        <w:tblInd w:w="5" w:type="dxa"/>
        <w:tblLayout w:type="fixed"/>
        <w:tblCellMar>
          <w:left w:w="10" w:type="dxa"/>
          <w:right w:w="10" w:type="dxa"/>
        </w:tblCellMar>
        <w:tblLook w:val="0000" w:firstRow="0" w:lastRow="0" w:firstColumn="0" w:lastColumn="0" w:noHBand="0" w:noVBand="0"/>
      </w:tblPr>
      <w:tblGrid>
        <w:gridCol w:w="8931"/>
        <w:gridCol w:w="1569"/>
      </w:tblGrid>
      <w:tr w:rsidR="00BF01D8">
        <w:tblPrEx>
          <w:tblCellMar>
            <w:top w:w="0" w:type="dxa"/>
            <w:bottom w:w="0" w:type="dxa"/>
          </w:tblCellMar>
        </w:tblPrEx>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rPr>
                <w:rStyle w:val="Bold"/>
              </w:rPr>
              <w:t>Description</w:t>
            </w:r>
          </w:p>
          <w:p w:rsidR="00BF01D8" w:rsidRDefault="00BF01D8">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rPr>
                <w:rStyle w:val="Bold"/>
              </w:rPr>
              <w:t>Level of need</w:t>
            </w:r>
          </w:p>
          <w:p w:rsidR="00BF01D8" w:rsidRDefault="00BF01D8">
            <w:pPr>
              <w:pStyle w:val="NoSpacing"/>
            </w:pPr>
          </w:p>
        </w:tc>
      </w:tr>
      <w:tr w:rsidR="00BF01D8">
        <w:tblPrEx>
          <w:tblCellMar>
            <w:top w:w="0" w:type="dxa"/>
            <w:bottom w:w="0" w:type="dxa"/>
          </w:tblCellMar>
        </w:tblPrEx>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p w:rsidR="00BF01D8" w:rsidRDefault="00CB4F73">
            <w:pPr>
              <w:pStyle w:val="NoSpacing"/>
            </w:pPr>
            <w:r>
              <w:t>Independently mobile</w:t>
            </w:r>
          </w:p>
          <w:p w:rsidR="00BF01D8" w:rsidRDefault="00BF01D8">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No needs</w:t>
            </w:r>
          </w:p>
          <w:p w:rsidR="00BF01D8" w:rsidRDefault="00BF01D8">
            <w:pPr>
              <w:pStyle w:val="NoSpacing"/>
            </w:pPr>
          </w:p>
        </w:tc>
      </w:tr>
      <w:tr w:rsidR="00BF01D8">
        <w:tblPrEx>
          <w:tblCellMar>
            <w:top w:w="0" w:type="dxa"/>
            <w:bottom w:w="0" w:type="dxa"/>
          </w:tblCellMar>
        </w:tblPrEx>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p w:rsidR="00BF01D8" w:rsidRDefault="00CB4F73">
            <w:pPr>
              <w:pStyle w:val="NoSpacing"/>
            </w:pPr>
            <w:r>
              <w:t>Able to weight bear but needs some assistance and/or requires mobility equipment for daily living.</w:t>
            </w:r>
          </w:p>
          <w:p w:rsidR="00BF01D8" w:rsidRDefault="00BF01D8">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Low</w:t>
            </w:r>
          </w:p>
          <w:p w:rsidR="00BF01D8" w:rsidRDefault="00BF01D8">
            <w:pPr>
              <w:pStyle w:val="NoSpacing"/>
            </w:pPr>
          </w:p>
        </w:tc>
      </w:tr>
      <w:tr w:rsidR="00BF01D8">
        <w:tblPrEx>
          <w:tblCellMar>
            <w:top w:w="0" w:type="dxa"/>
            <w:bottom w:w="0" w:type="dxa"/>
          </w:tblCellMar>
        </w:tblPrEx>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p w:rsidR="00BF01D8" w:rsidRDefault="00CB4F73">
            <w:pPr>
              <w:pStyle w:val="NoSpacing"/>
            </w:pPr>
            <w:r>
              <w:t xml:space="preserve">Not able to consistently weight </w:t>
            </w:r>
            <w:r>
              <w:t>bear.</w:t>
            </w:r>
          </w:p>
          <w:p w:rsidR="00BF01D8" w:rsidRDefault="00BF01D8">
            <w:pPr>
              <w:pStyle w:val="NoSpacing"/>
            </w:pPr>
          </w:p>
          <w:p w:rsidR="00BF01D8" w:rsidRDefault="00CB4F73">
            <w:pPr>
              <w:pStyle w:val="NoSpacing"/>
            </w:pPr>
            <w:r>
              <w:rPr>
                <w:rStyle w:val="DHGreen"/>
              </w:rPr>
              <w:t>OR</w:t>
            </w:r>
          </w:p>
          <w:p w:rsidR="00BF01D8" w:rsidRDefault="00BF01D8">
            <w:pPr>
              <w:pStyle w:val="NoSpacing"/>
            </w:pPr>
          </w:p>
          <w:p w:rsidR="00BF01D8" w:rsidRDefault="00CB4F73">
            <w:pPr>
              <w:pStyle w:val="NoSpacing"/>
            </w:pPr>
            <w:r>
              <w:t>Completely unable to weight bear but is able to assist or cooperate with transfers and/or repositioning.</w:t>
            </w:r>
          </w:p>
          <w:p w:rsidR="00BF01D8" w:rsidRDefault="00BF01D8">
            <w:pPr>
              <w:pStyle w:val="NoSpacing"/>
            </w:pPr>
          </w:p>
          <w:p w:rsidR="00BF01D8" w:rsidRDefault="00CB4F73">
            <w:pPr>
              <w:pStyle w:val="NoSpacing"/>
            </w:pPr>
            <w:r>
              <w:rPr>
                <w:rStyle w:val="DHGreen"/>
              </w:rPr>
              <w:t>OR</w:t>
            </w:r>
          </w:p>
          <w:p w:rsidR="00BF01D8" w:rsidRDefault="00BF01D8">
            <w:pPr>
              <w:pStyle w:val="NoSpacing"/>
            </w:pPr>
          </w:p>
          <w:p w:rsidR="00BF01D8" w:rsidRDefault="00CB4F73">
            <w:pPr>
              <w:pStyle w:val="NoSpacing"/>
            </w:pPr>
            <w:r>
              <w:t>In one position (bed or chair) for the majority of time but is able to cooperate and assist carers or care workers.</w:t>
            </w:r>
          </w:p>
          <w:p w:rsidR="00BF01D8" w:rsidRDefault="00BF01D8">
            <w:pPr>
              <w:pStyle w:val="NoSpacing"/>
            </w:pPr>
          </w:p>
          <w:p w:rsidR="00BF01D8" w:rsidRDefault="00CB4F73">
            <w:pPr>
              <w:pStyle w:val="NoSpacing"/>
            </w:pPr>
            <w:r>
              <w:rPr>
                <w:rStyle w:val="DHGreen"/>
              </w:rPr>
              <w:t>OR</w:t>
            </w:r>
          </w:p>
          <w:p w:rsidR="00BF01D8" w:rsidRDefault="00BF01D8">
            <w:pPr>
              <w:pStyle w:val="NoSpacing"/>
            </w:pPr>
          </w:p>
          <w:p w:rsidR="00BF01D8" w:rsidRDefault="00CB4F73">
            <w:pPr>
              <w:pStyle w:val="NoSpacing"/>
            </w:pPr>
            <w:r>
              <w:t xml:space="preserve">At moderate </w:t>
            </w:r>
            <w:r>
              <w:t>risk of falls (as evidenced in a falls history or risk assessment)</w:t>
            </w:r>
          </w:p>
          <w:p w:rsidR="00BF01D8" w:rsidRDefault="00BF01D8">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Moderate</w:t>
            </w:r>
          </w:p>
          <w:p w:rsidR="00BF01D8" w:rsidRDefault="00BF01D8">
            <w:pPr>
              <w:pStyle w:val="NoSpacing"/>
            </w:pPr>
          </w:p>
        </w:tc>
      </w:tr>
      <w:tr w:rsidR="00BF01D8">
        <w:tblPrEx>
          <w:tblCellMar>
            <w:top w:w="0" w:type="dxa"/>
            <w:bottom w:w="0" w:type="dxa"/>
          </w:tblCellMar>
        </w:tblPrEx>
        <w:trPr>
          <w:trHeight w:val="396"/>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Completely unable to weight bear and is unable to assist or cooperate with transfers and/or repositioning.</w:t>
            </w:r>
          </w:p>
          <w:p w:rsidR="00BF01D8" w:rsidRDefault="00BF01D8">
            <w:pPr>
              <w:pStyle w:val="NoSpacing"/>
            </w:pPr>
          </w:p>
          <w:p w:rsidR="00BF01D8" w:rsidRDefault="00CB4F73">
            <w:pPr>
              <w:pStyle w:val="NoSpacing"/>
            </w:pPr>
            <w:r>
              <w:rPr>
                <w:rStyle w:val="DHGreen"/>
              </w:rPr>
              <w:t>OR</w:t>
            </w:r>
          </w:p>
          <w:p w:rsidR="00BF01D8" w:rsidRDefault="00BF01D8">
            <w:pPr>
              <w:pStyle w:val="NoSpacing"/>
            </w:pPr>
          </w:p>
          <w:p w:rsidR="00BF01D8" w:rsidRDefault="00CB4F73">
            <w:pPr>
              <w:pStyle w:val="NoSpacing"/>
            </w:pPr>
            <w:r>
              <w:t xml:space="preserve">Due to risk of physical harm or loss of muscle tone or pain on </w:t>
            </w:r>
            <w:r>
              <w:t>movement needs careful positioning and is unable to cooperate.</w:t>
            </w:r>
          </w:p>
          <w:p w:rsidR="00BF01D8" w:rsidRDefault="00BF01D8">
            <w:pPr>
              <w:pStyle w:val="NoSpacing"/>
            </w:pPr>
          </w:p>
          <w:p w:rsidR="00BF01D8" w:rsidRDefault="00CB4F73">
            <w:pPr>
              <w:pStyle w:val="NoSpacing"/>
            </w:pPr>
            <w:r>
              <w:rPr>
                <w:rStyle w:val="DHGreen"/>
              </w:rPr>
              <w:t>OR</w:t>
            </w:r>
          </w:p>
          <w:p w:rsidR="00BF01D8" w:rsidRDefault="00BF01D8">
            <w:pPr>
              <w:pStyle w:val="NoSpacing"/>
            </w:pPr>
          </w:p>
          <w:p w:rsidR="00BF01D8" w:rsidRDefault="00CB4F73">
            <w:pPr>
              <w:pStyle w:val="NoSpacing"/>
            </w:pPr>
            <w:r>
              <w:t>At a high risk of falls (as evidenced in a falls history and risk assessment).</w:t>
            </w:r>
          </w:p>
          <w:p w:rsidR="00BF01D8" w:rsidRDefault="00BF01D8">
            <w:pPr>
              <w:pStyle w:val="NoSpacing"/>
            </w:pPr>
          </w:p>
          <w:p w:rsidR="00BF01D8" w:rsidRDefault="00CB4F73">
            <w:pPr>
              <w:pStyle w:val="NoSpacing"/>
            </w:pPr>
            <w:r>
              <w:rPr>
                <w:rStyle w:val="DHGreen"/>
              </w:rPr>
              <w:t>OR</w:t>
            </w:r>
          </w:p>
          <w:p w:rsidR="00BF01D8" w:rsidRDefault="00BF01D8">
            <w:pPr>
              <w:pStyle w:val="NoSpacing"/>
            </w:pPr>
          </w:p>
          <w:p w:rsidR="00BF01D8" w:rsidRDefault="00CB4F73">
            <w:pPr>
              <w:pStyle w:val="NoSpacing"/>
            </w:pPr>
            <w:r>
              <w:t>Involuntary spasms or contractures placing the individual or others at risk.</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High</w:t>
            </w:r>
          </w:p>
          <w:p w:rsidR="00BF01D8" w:rsidRDefault="00BF01D8">
            <w:pPr>
              <w:pStyle w:val="NoSpacing"/>
            </w:pPr>
          </w:p>
        </w:tc>
      </w:tr>
      <w:tr w:rsidR="00BF01D8">
        <w:tblPrEx>
          <w:tblCellMar>
            <w:top w:w="0" w:type="dxa"/>
            <w:bottom w:w="0" w:type="dxa"/>
          </w:tblCellMar>
        </w:tblPrEx>
        <w:trPr>
          <w:trHeight w:val="712"/>
        </w:trPr>
        <w:tc>
          <w:tcPr>
            <w:tcW w:w="8931"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p w:rsidR="00BF01D8" w:rsidRDefault="00CB4F73">
            <w:pPr>
              <w:pStyle w:val="NoSpacing"/>
            </w:pPr>
            <w:r>
              <w:t>Completely immobile</w:t>
            </w:r>
            <w:r>
              <w:t xml:space="preserve"> and/or clinical condition such that, in either case, on movement or transfer there is a high risk of serious physical harm and where the positioning is critical.</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Severe</w:t>
            </w:r>
          </w:p>
          <w:p w:rsidR="00BF01D8" w:rsidRDefault="00BF01D8">
            <w:pPr>
              <w:pStyle w:val="NoSpacing"/>
            </w:pPr>
          </w:p>
        </w:tc>
      </w:tr>
    </w:tbl>
    <w:p w:rsidR="00BF01D8" w:rsidRDefault="00BF01D8">
      <w:pPr>
        <w:pStyle w:val="NoSpacing"/>
      </w:pPr>
    </w:p>
    <w:p w:rsidR="00BF01D8" w:rsidRDefault="00CB4F73">
      <w:pPr>
        <w:pStyle w:val="Heading3"/>
      </w:pPr>
      <w:r>
        <w:lastRenderedPageBreak/>
        <w:t>Decision Support Tool for NHS Continuing Healthcare</w:t>
      </w:r>
      <w:r>
        <w:br/>
      </w:r>
      <w:r>
        <w:t>Section 2 – Care Domains</w:t>
      </w:r>
    </w:p>
    <w:p w:rsidR="00BF01D8" w:rsidRDefault="00CB4F73">
      <w:r>
        <w:t>Please</w:t>
      </w:r>
      <w:r>
        <w:t xml:space="preserve"> refer to the user notes</w:t>
      </w:r>
    </w:p>
    <w:p w:rsidR="00BF01D8" w:rsidRDefault="00CB4F73">
      <w:r>
        <w:t xml:space="preserve">6. </w:t>
      </w:r>
      <w:r>
        <w:rPr>
          <w:rStyle w:val="DHGreen"/>
        </w:rPr>
        <w:t>Communication</w:t>
      </w:r>
      <w:r>
        <w:t>: This section relates to difficulties with expression and understanding, in particular with regard to communicating needs. An individual’s ability or otherwise to communicate their needs may well have an impact bot</w:t>
      </w:r>
      <w:r>
        <w:t>h on the overall assessment and on the provision of care.  Consideration should always be given to whether the individual requires assistance with communication, for example through an interpreter, use of pictures, sign language, use of Braille, hearing ai</w:t>
      </w:r>
      <w:r>
        <w:t>ds, or other communication technology.</w:t>
      </w:r>
    </w:p>
    <w:tbl>
      <w:tblPr>
        <w:tblW w:w="10500" w:type="dxa"/>
        <w:tblInd w:w="85" w:type="dxa"/>
        <w:tblLayout w:type="fixed"/>
        <w:tblCellMar>
          <w:left w:w="10" w:type="dxa"/>
          <w:right w:w="10" w:type="dxa"/>
        </w:tblCellMar>
        <w:tblLook w:val="0000" w:firstRow="0" w:lastRow="0" w:firstColumn="0" w:lastColumn="0" w:noHBand="0" w:noVBand="0"/>
      </w:tblPr>
      <w:tblGrid>
        <w:gridCol w:w="10500"/>
      </w:tblGrid>
      <w:tr w:rsidR="00BF01D8">
        <w:tblPrEx>
          <w:tblCellMar>
            <w:top w:w="0" w:type="dxa"/>
            <w:bottom w:w="0" w:type="dxa"/>
          </w:tblCellMar>
        </w:tblPrEx>
        <w:trPr>
          <w:trHeight w:val="9485"/>
        </w:trPr>
        <w:tc>
          <w:tcPr>
            <w:tcW w:w="1050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CB4F73">
            <w:r>
              <w:rPr>
                <w:rStyle w:val="Bold"/>
              </w:rPr>
              <w:t>1. Describe the actual needs of the individual, providing the evidence that informs the decision overleaf on which level is appropriate, including the frequency and intensity of need, unpredictability, deterioration a</w:t>
            </w:r>
            <w:r>
              <w:rPr>
                <w:rStyle w:val="Bold"/>
              </w:rPr>
              <w:t>nd any instability.</w:t>
            </w:r>
          </w:p>
          <w:p w:rsidR="00BF01D8" w:rsidRDefault="00CB4F73">
            <w:r>
              <w:rPr>
                <w:rStyle w:val="Bold"/>
              </w:rPr>
              <w:t>2. Circle the assessed level overleaf.</w:t>
            </w:r>
          </w:p>
        </w:tc>
      </w:tr>
    </w:tbl>
    <w:p w:rsidR="00BF01D8" w:rsidRDefault="00BF01D8"/>
    <w:p w:rsidR="00BF01D8" w:rsidRDefault="00BF01D8"/>
    <w:p w:rsidR="00BF01D8" w:rsidRDefault="00BF01D8"/>
    <w:p w:rsidR="00BF01D8" w:rsidRDefault="00BF01D8"/>
    <w:p w:rsidR="00BF01D8" w:rsidRDefault="00CB4F73">
      <w:pPr>
        <w:pStyle w:val="Heading3"/>
      </w:pPr>
      <w:r>
        <w:lastRenderedPageBreak/>
        <w:t>Decision Support Tool for NHS Continuing Healthcare</w:t>
      </w:r>
      <w:r>
        <w:br/>
      </w:r>
      <w:r>
        <w:t>Section 2 – Care Domains</w:t>
      </w:r>
    </w:p>
    <w:p w:rsidR="00BF01D8" w:rsidRDefault="00CB4F73">
      <w:r>
        <w:t>Please refer to the user notes</w:t>
      </w:r>
    </w:p>
    <w:p w:rsidR="00BF01D8" w:rsidRDefault="00CB4F73">
      <w:r>
        <w:rPr>
          <w:rStyle w:val="Bold"/>
        </w:rPr>
        <w:t>6. Communication</w:t>
      </w:r>
    </w:p>
    <w:tbl>
      <w:tblPr>
        <w:tblW w:w="10358" w:type="dxa"/>
        <w:tblInd w:w="5" w:type="dxa"/>
        <w:tblLayout w:type="fixed"/>
        <w:tblCellMar>
          <w:left w:w="10" w:type="dxa"/>
          <w:right w:w="10" w:type="dxa"/>
        </w:tblCellMar>
        <w:tblLook w:val="0000" w:firstRow="0" w:lastRow="0" w:firstColumn="0" w:lastColumn="0" w:noHBand="0" w:noVBand="0"/>
      </w:tblPr>
      <w:tblGrid>
        <w:gridCol w:w="8789"/>
        <w:gridCol w:w="1569"/>
      </w:tblGrid>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rPr>
                <w:rStyle w:val="Bold"/>
              </w:rPr>
              <w:t>Description</w:t>
            </w:r>
          </w:p>
          <w:p w:rsidR="00BF01D8" w:rsidRDefault="00BF01D8"/>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rPr>
                <w:rStyle w:val="Bold"/>
              </w:rPr>
              <w:t>Level of need</w:t>
            </w:r>
          </w:p>
          <w:p w:rsidR="00BF01D8" w:rsidRDefault="00BF01D8"/>
        </w:tc>
      </w:tr>
      <w:tr w:rsidR="00BF01D8">
        <w:tblPrEx>
          <w:tblCellMar>
            <w:top w:w="0" w:type="dxa"/>
            <w:bottom w:w="0" w:type="dxa"/>
          </w:tblCellMar>
        </w:tblPrEx>
        <w:trPr>
          <w:trHeight w:val="112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Able to communicate clearly, verbally </w:t>
            </w:r>
            <w:r>
              <w:t>or non-verbally. Has a good understanding of their primary language. May require translation if English is not their first language.</w:t>
            </w:r>
          </w:p>
          <w:p w:rsidR="00BF01D8" w:rsidRDefault="00BF01D8"/>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No needs</w:t>
            </w:r>
          </w:p>
          <w:p w:rsidR="00BF01D8" w:rsidRDefault="00BF01D8"/>
        </w:tc>
      </w:tr>
      <w:tr w:rsidR="00BF01D8">
        <w:tblPrEx>
          <w:tblCellMar>
            <w:top w:w="0" w:type="dxa"/>
            <w:bottom w:w="0" w:type="dxa"/>
          </w:tblCellMar>
        </w:tblPrEx>
        <w:trPr>
          <w:trHeight w:val="1647"/>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Needs assistance to communicate their needs. Special effort may be needed to ensure accurate interpretation </w:t>
            </w:r>
            <w:r>
              <w:t>of needs or additional support may be needed either visually, through touch or with hearing.</w:t>
            </w:r>
          </w:p>
          <w:p w:rsidR="00BF01D8" w:rsidRDefault="00BF01D8"/>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Low</w:t>
            </w:r>
          </w:p>
          <w:p w:rsidR="00BF01D8" w:rsidRDefault="00BF01D8"/>
        </w:tc>
      </w:tr>
      <w:tr w:rsidR="00BF01D8">
        <w:tblPrEx>
          <w:tblCellMar>
            <w:top w:w="0" w:type="dxa"/>
            <w:bottom w:w="0" w:type="dxa"/>
          </w:tblCellMar>
        </w:tblPrEx>
        <w:trPr>
          <w:trHeight w:val="160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Communication about needs is difficult to understand or interpret or the individual is sometimes unable to reliably communicate, even when assisted. </w:t>
            </w:r>
            <w:r>
              <w:t>Carers or care workers may be able to anticipate needs through non-verbal signs due to familiarity with the individual.</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Moderate</w:t>
            </w:r>
          </w:p>
          <w:p w:rsidR="00BF01D8" w:rsidRDefault="00BF01D8"/>
        </w:tc>
      </w:tr>
      <w:tr w:rsidR="00BF01D8">
        <w:tblPrEx>
          <w:tblCellMar>
            <w:top w:w="0" w:type="dxa"/>
            <w:bottom w:w="0" w:type="dxa"/>
          </w:tblCellMar>
        </w:tblPrEx>
        <w:trPr>
          <w:trHeight w:val="1691"/>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Unable to reliably communicate their needs at any time and in any way, even when all practicable steps to assist them have </w:t>
            </w:r>
            <w:r>
              <w:t>been taken. The individual has to have most of their needs anticipated because of their inability to communicate them.</w:t>
            </w:r>
          </w:p>
          <w:p w:rsidR="00BF01D8" w:rsidRDefault="00BF01D8"/>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High</w:t>
            </w:r>
          </w:p>
          <w:p w:rsidR="00BF01D8" w:rsidRDefault="00BF01D8"/>
        </w:tc>
      </w:tr>
    </w:tbl>
    <w:p w:rsidR="00BF01D8" w:rsidRDefault="00BF01D8"/>
    <w:p w:rsidR="00BF01D8" w:rsidRDefault="00BF01D8"/>
    <w:p w:rsidR="00BF01D8" w:rsidRDefault="00BF01D8"/>
    <w:p w:rsidR="00BF01D8" w:rsidRDefault="00BF01D8"/>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CB4F73">
      <w:pPr>
        <w:pStyle w:val="Heading3"/>
      </w:pPr>
      <w:r>
        <w:lastRenderedPageBreak/>
        <w:t>Decision Support Tool for NHS Continuing Healthcare</w:t>
      </w:r>
      <w:r>
        <w:br/>
      </w:r>
      <w:r>
        <w:t>Section 2 – Care Domains</w:t>
      </w:r>
    </w:p>
    <w:p w:rsidR="00BF01D8" w:rsidRDefault="00CB4F73">
      <w:r>
        <w:t>Please refer to the user notes</w:t>
      </w:r>
    </w:p>
    <w:p w:rsidR="00BF01D8" w:rsidRDefault="00CB4F73">
      <w:r>
        <w:t xml:space="preserve">7. </w:t>
      </w:r>
      <w:r>
        <w:rPr>
          <w:rStyle w:val="DHGreen"/>
        </w:rPr>
        <w:t>Psychological and Emotional Needs</w:t>
      </w:r>
      <w:r>
        <w:t xml:space="preserve">: There should be evidence of considering psychological needs and their impact on the individual’s health and well-being, irrespective of their underlying condition. Use this domain to record the individual’s psychological </w:t>
      </w:r>
      <w:r>
        <w:t>and emotional needs and how they contribute to the overall care needs, noting the underlying causes. Where the individual is unable to express their psychological/emotional needs (even with appropriate support) due to the nature of their overall needs (whi</w:t>
      </w:r>
      <w:r>
        <w:t>ch may include cognitive impairment), this should be recorded and a professional judgement made based on the overall evidence and knowledge of the individual. It could be argued that everyone has psychological and emotional needs, but this domain is focuse</w:t>
      </w:r>
      <w:r>
        <w:t>d on whether and how such needs are having an impact on the individual's health and well-being, and the degree of support required. If an individual has a severe level of need in the cognition domain they may not be able to consciously withdraw from any at</w:t>
      </w:r>
      <w:r>
        <w:t>tempts to engage them in care planning, but careful consideration will need to be given to any evidence of psychological or emotional needs that are having an impact on their health and well-being.</w:t>
      </w:r>
    </w:p>
    <w:p w:rsidR="00BF01D8" w:rsidRDefault="00BF01D8"/>
    <w:tbl>
      <w:tblPr>
        <w:tblW w:w="10513" w:type="dxa"/>
        <w:tblLayout w:type="fixed"/>
        <w:tblCellMar>
          <w:left w:w="10" w:type="dxa"/>
          <w:right w:w="10" w:type="dxa"/>
        </w:tblCellMar>
        <w:tblLook w:val="0000" w:firstRow="0" w:lastRow="0" w:firstColumn="0" w:lastColumn="0" w:noHBand="0" w:noVBand="0"/>
      </w:tblPr>
      <w:tblGrid>
        <w:gridCol w:w="10513"/>
      </w:tblGrid>
      <w:tr w:rsidR="00BF01D8">
        <w:tblPrEx>
          <w:tblCellMar>
            <w:top w:w="0" w:type="dxa"/>
            <w:bottom w:w="0" w:type="dxa"/>
          </w:tblCellMar>
        </w:tblPrEx>
        <w:trPr>
          <w:trHeight w:val="8438"/>
        </w:trPr>
        <w:tc>
          <w:tcPr>
            <w:tcW w:w="10513"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CB4F73">
            <w:r>
              <w:rPr>
                <w:rStyle w:val="Bold"/>
              </w:rPr>
              <w:t>1. Describe the actual needs of the individual, providing</w:t>
            </w:r>
            <w:r>
              <w:rPr>
                <w:rStyle w:val="Bold"/>
              </w:rPr>
              <w:t xml:space="preserve"> the evidence that informs the decision overleaf on which level is appropriate, including the frequency and intensity of need, unpredictability, deterioration and any instability.</w:t>
            </w:r>
          </w:p>
          <w:p w:rsidR="00BF01D8" w:rsidRDefault="00CB4F73">
            <w:r>
              <w:rPr>
                <w:rStyle w:val="Bold"/>
              </w:rPr>
              <w:t>2. Circle the assessed level overleaf.</w:t>
            </w:r>
          </w:p>
        </w:tc>
      </w:tr>
    </w:tbl>
    <w:p w:rsidR="00BF01D8" w:rsidRDefault="00CB4F73">
      <w:pPr>
        <w:pStyle w:val="Heading3"/>
      </w:pPr>
      <w:r>
        <w:lastRenderedPageBreak/>
        <w:t>Decision Support Tool for NHS Contin</w:t>
      </w:r>
      <w:r>
        <w:t>uing Healthcare</w:t>
      </w:r>
      <w:r>
        <w:br/>
      </w:r>
      <w:r>
        <w:t>Section 2 – Care Domains</w:t>
      </w:r>
    </w:p>
    <w:p w:rsidR="00BF01D8" w:rsidRDefault="00CB4F73">
      <w:r>
        <w:t>Please refer to the user notes</w:t>
      </w:r>
    </w:p>
    <w:p w:rsidR="00BF01D8" w:rsidRDefault="00CB4F73">
      <w:r>
        <w:rPr>
          <w:rStyle w:val="Bold"/>
        </w:rPr>
        <w:t>7. Psychological and Emotional Needs</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rPr>
                <w:rStyle w:val="Bold"/>
              </w:rPr>
              <w:t>Description</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rPr>
                <w:rStyle w:val="Bold"/>
              </w:rPr>
              <w:t>Level of need</w:t>
            </w:r>
          </w:p>
          <w:p w:rsidR="00BF01D8" w:rsidRDefault="00BF01D8"/>
        </w:tc>
      </w:tr>
      <w:tr w:rsidR="00BF01D8">
        <w:tblPrEx>
          <w:tblCellMar>
            <w:top w:w="0" w:type="dxa"/>
            <w:bottom w:w="0" w:type="dxa"/>
          </w:tblCellMar>
        </w:tblPrEx>
        <w:trPr>
          <w:trHeight w:val="982"/>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Psychological and emotional needs are not having an impact on their health and well-being.</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No needs</w:t>
            </w:r>
          </w:p>
          <w:p w:rsidR="00BF01D8" w:rsidRDefault="00BF01D8"/>
        </w:tc>
      </w:tr>
      <w:tr w:rsidR="00BF01D8">
        <w:tblPrEx>
          <w:tblCellMar>
            <w:top w:w="0" w:type="dxa"/>
            <w:bottom w:w="0" w:type="dxa"/>
          </w:tblCellMar>
        </w:tblPrEx>
        <w:trPr>
          <w:trHeight w:val="2601"/>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Mood </w:t>
            </w:r>
            <w:r>
              <w:t>disturbance, hallucinations or anxiety symptoms, or periods of distress, which are having an impact on their health and/or well-being but respond to prompts, distraction and/or reassurance.</w:t>
            </w:r>
          </w:p>
          <w:p w:rsidR="00BF01D8" w:rsidRDefault="00BF01D8"/>
          <w:p w:rsidR="00BF01D8" w:rsidRDefault="00CB4F73">
            <w:r>
              <w:rPr>
                <w:rStyle w:val="DHGreen"/>
              </w:rPr>
              <w:t xml:space="preserve">OR           </w:t>
            </w:r>
          </w:p>
          <w:p w:rsidR="00BF01D8" w:rsidRDefault="00CB4F73">
            <w:r>
              <w:t xml:space="preserve">Requires prompts to motivate self towards activity </w:t>
            </w:r>
            <w:r>
              <w:t>and to engage them in care planning, support, and/or daily activities.</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Low</w:t>
            </w:r>
          </w:p>
          <w:p w:rsidR="00BF01D8" w:rsidRDefault="00BF01D8"/>
        </w:tc>
      </w:tr>
      <w:tr w:rsidR="00BF01D8">
        <w:tblPrEx>
          <w:tblCellMar>
            <w:top w:w="0" w:type="dxa"/>
            <w:bottom w:w="0" w:type="dxa"/>
          </w:tblCellMar>
        </w:tblPrEx>
        <w:trPr>
          <w:trHeight w:val="277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Mood disturbance, hallucinations or anxiety symptoms, or periods of distress, which do not readily respond to prompts, distraction and/or reassurance and have an increasing </w:t>
            </w:r>
            <w:r>
              <w:t>impact on the individual’s health and/or well-being.</w:t>
            </w:r>
          </w:p>
          <w:p w:rsidR="00BF01D8" w:rsidRDefault="00CB4F73">
            <w:r>
              <w:rPr>
                <w:rStyle w:val="DHGreen"/>
              </w:rPr>
              <w:t>OR</w:t>
            </w:r>
          </w:p>
          <w:p w:rsidR="00BF01D8" w:rsidRDefault="00CB4F73">
            <w:r>
              <w:t>Due to their psychological or emotional state the individual has withdrawn from most attempts to engage them in care planning, support and/or daily activities.</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Moderate</w:t>
            </w:r>
          </w:p>
          <w:p w:rsidR="00BF01D8" w:rsidRDefault="00BF01D8"/>
        </w:tc>
      </w:tr>
      <w:tr w:rsidR="00BF01D8">
        <w:tblPrEx>
          <w:tblCellMar>
            <w:top w:w="0" w:type="dxa"/>
            <w:bottom w:w="0" w:type="dxa"/>
          </w:tblCellMar>
        </w:tblPrEx>
        <w:trPr>
          <w:trHeight w:val="2088"/>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Mood disturbance, </w:t>
            </w:r>
            <w:r>
              <w:t>hallucinations or anxiety symptoms, or periods of distress, that have a severe impact on the individual’s health and/or well-being.</w:t>
            </w:r>
          </w:p>
          <w:p w:rsidR="00BF01D8" w:rsidRDefault="00CB4F73">
            <w:r>
              <w:rPr>
                <w:rStyle w:val="DHGreen"/>
              </w:rPr>
              <w:t>OR</w:t>
            </w:r>
          </w:p>
          <w:p w:rsidR="00BF01D8" w:rsidRDefault="00CB4F73">
            <w:r>
              <w:t>Due to their psychological or emotional state the individual has withdrawn from any attempts to engage them in care plann</w:t>
            </w:r>
            <w:r>
              <w:t xml:space="preserve">ing, support and/or daily activities. </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High</w:t>
            </w:r>
          </w:p>
          <w:p w:rsidR="00BF01D8" w:rsidRDefault="00BF01D8"/>
        </w:tc>
      </w:tr>
    </w:tbl>
    <w:p w:rsidR="00BF01D8" w:rsidRDefault="00BF01D8"/>
    <w:p w:rsidR="00BF01D8" w:rsidRDefault="00BF01D8">
      <w:pPr>
        <w:pStyle w:val="Heading3"/>
        <w:rPr>
          <w:b w:val="0"/>
          <w:color w:val="auto"/>
          <w:sz w:val="24"/>
        </w:rPr>
      </w:pPr>
    </w:p>
    <w:p w:rsidR="00BF01D8" w:rsidRDefault="00BF01D8">
      <w:pPr>
        <w:pStyle w:val="Heading3"/>
        <w:rPr>
          <w:b w:val="0"/>
          <w:color w:val="auto"/>
          <w:sz w:val="24"/>
        </w:rPr>
      </w:pPr>
    </w:p>
    <w:p w:rsidR="00BF01D8" w:rsidRDefault="00BF01D8">
      <w:pPr>
        <w:pStyle w:val="Heading3"/>
        <w:rPr>
          <w:b w:val="0"/>
          <w:color w:val="auto"/>
          <w:sz w:val="24"/>
        </w:rPr>
      </w:pPr>
    </w:p>
    <w:p w:rsidR="00BF01D8" w:rsidRDefault="00BF01D8">
      <w:pPr>
        <w:pStyle w:val="Heading3"/>
        <w:rPr>
          <w:b w:val="0"/>
          <w:color w:val="auto"/>
          <w:sz w:val="24"/>
        </w:rPr>
      </w:pPr>
    </w:p>
    <w:p w:rsidR="00BF01D8" w:rsidRDefault="00BF01D8">
      <w:pPr>
        <w:pStyle w:val="Heading3"/>
        <w:rPr>
          <w:b w:val="0"/>
          <w:color w:val="auto"/>
          <w:sz w:val="24"/>
        </w:rPr>
      </w:pPr>
    </w:p>
    <w:p w:rsidR="00BF01D8" w:rsidRDefault="00CB4F73">
      <w:pPr>
        <w:pStyle w:val="Heading3"/>
      </w:pPr>
      <w:r>
        <w:lastRenderedPageBreak/>
        <w:t>Decision Support Tool for NHS Continuing Healthcare</w:t>
      </w:r>
      <w:r>
        <w:br/>
      </w:r>
      <w:r>
        <w:t>Section 2 – Care Domains</w:t>
      </w:r>
    </w:p>
    <w:p w:rsidR="00BF01D8" w:rsidRDefault="00CB4F73">
      <w:r>
        <w:t>Please refer to the user notes</w:t>
      </w:r>
    </w:p>
    <w:p w:rsidR="00BF01D8" w:rsidRDefault="00CB4F73">
      <w:r>
        <w:t xml:space="preserve">8. </w:t>
      </w:r>
      <w:r>
        <w:rPr>
          <w:rStyle w:val="DHGreen"/>
        </w:rPr>
        <w:t>Cognition</w:t>
      </w:r>
      <w:r>
        <w:t xml:space="preserve">: This may apply to, but is not limited to, individuals with learning disability </w:t>
      </w:r>
      <w:r>
        <w:t>and/or acquired and degenerative disorders. Where cognitive impairment is identified in the assessment of need, active consideration should be given to referral to an appropriate specialist if one is not already involved. A key consideration in determining</w:t>
      </w:r>
      <w:r>
        <w:t xml:space="preserve"> the level of need under this domain is making a professional judgement about the degree of risk to the individual.</w:t>
      </w:r>
    </w:p>
    <w:p w:rsidR="00BF01D8" w:rsidRDefault="00CB4F73">
      <w:r>
        <w:rPr>
          <w:rStyle w:val="Bold"/>
        </w:rPr>
        <w:t xml:space="preserve">Please refer to the National Framework guidance about the need to apply the principles of the Mental Capacity Act in every case where there </w:t>
      </w:r>
      <w:r>
        <w:rPr>
          <w:rStyle w:val="Bold"/>
        </w:rPr>
        <w:t>is a question about an individual's capacity. The principles of the Act should also be applied to all considerations of the individual’s ability to make decisions and choices.</w:t>
      </w:r>
    </w:p>
    <w:tbl>
      <w:tblPr>
        <w:tblW w:w="10514" w:type="dxa"/>
        <w:tblInd w:w="85" w:type="dxa"/>
        <w:tblLayout w:type="fixed"/>
        <w:tblCellMar>
          <w:left w:w="10" w:type="dxa"/>
          <w:right w:w="10" w:type="dxa"/>
        </w:tblCellMar>
        <w:tblLook w:val="0000" w:firstRow="0" w:lastRow="0" w:firstColumn="0" w:lastColumn="0" w:noHBand="0" w:noVBand="0"/>
      </w:tblPr>
      <w:tblGrid>
        <w:gridCol w:w="10514"/>
      </w:tblGrid>
      <w:tr w:rsidR="00BF01D8">
        <w:tblPrEx>
          <w:tblCellMar>
            <w:top w:w="0" w:type="dxa"/>
            <w:bottom w:w="0" w:type="dxa"/>
          </w:tblCellMar>
        </w:tblPrEx>
        <w:trPr>
          <w:trHeight w:val="9324"/>
        </w:trPr>
        <w:tc>
          <w:tcPr>
            <w:tcW w:w="10514"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CB4F73">
            <w:r>
              <w:rPr>
                <w:rStyle w:val="Bold"/>
              </w:rPr>
              <w:t>1. Describe the actual needs of the individual (including episodic and fluctuati</w:t>
            </w:r>
            <w:r>
              <w:rPr>
                <w:rStyle w:val="Bold"/>
              </w:rPr>
              <w:t>ng needs), providing the evidence that informs the decision overleaf on which level is appropriate, including the frequency and intensity of need, unpredictability, deterioration and any instability.</w:t>
            </w:r>
          </w:p>
          <w:p w:rsidR="00BF01D8" w:rsidRDefault="00CB4F73">
            <w:r>
              <w:rPr>
                <w:rStyle w:val="Bold"/>
              </w:rPr>
              <w:t>2. Where cognitive impairment has an impact on behaviour</w:t>
            </w:r>
            <w:r>
              <w:rPr>
                <w:rStyle w:val="Bold"/>
              </w:rPr>
              <w:t>, take this into account in the behaviour domain, so that the interaction between the two domains is clear.</w:t>
            </w:r>
          </w:p>
          <w:p w:rsidR="00BF01D8" w:rsidRDefault="00CB4F73">
            <w:r>
              <w:rPr>
                <w:rStyle w:val="Bold"/>
              </w:rPr>
              <w:t>3. Circle the assessed level overleaf.</w:t>
            </w:r>
          </w:p>
        </w:tc>
      </w:tr>
    </w:tbl>
    <w:p w:rsidR="00BF01D8" w:rsidRDefault="00BF01D8">
      <w:pPr>
        <w:pStyle w:val="Heading3"/>
      </w:pPr>
    </w:p>
    <w:p w:rsidR="00BF01D8" w:rsidRDefault="00BF01D8">
      <w:pPr>
        <w:pStyle w:val="Heading3"/>
      </w:pPr>
    </w:p>
    <w:p w:rsidR="00BF01D8" w:rsidRDefault="00CB4F73">
      <w:pPr>
        <w:pStyle w:val="Heading3"/>
      </w:pPr>
      <w:r>
        <w:lastRenderedPageBreak/>
        <w:t>Decision Support Tool for NHS Continuing Healthcare</w:t>
      </w:r>
      <w:r>
        <w:br/>
      </w:r>
      <w:r>
        <w:t>Section 2 – Care Domains</w:t>
      </w:r>
    </w:p>
    <w:p w:rsidR="00BF01D8" w:rsidRDefault="00CB4F73">
      <w:r>
        <w:t xml:space="preserve">Please refer to the user </w:t>
      </w:r>
      <w:r>
        <w:t>notes</w:t>
      </w:r>
    </w:p>
    <w:p w:rsidR="00BF01D8" w:rsidRDefault="00CB4F73">
      <w:r>
        <w:rPr>
          <w:rStyle w:val="Bold"/>
        </w:rPr>
        <w:t>8. Cognition</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rPr>
                <w:rStyle w:val="Bold"/>
              </w:rPr>
              <w:t>Description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rPr>
                <w:rStyle w:val="Bold"/>
              </w:rPr>
              <w:t>Level of need</w:t>
            </w:r>
          </w:p>
        </w:tc>
      </w:tr>
      <w:tr w:rsidR="00BF01D8">
        <w:tblPrEx>
          <w:tblCellMar>
            <w:top w:w="0" w:type="dxa"/>
            <w:bottom w:w="0" w:type="dxa"/>
          </w:tblCellMar>
        </w:tblPrEx>
        <w:trPr>
          <w:trHeight w:val="718"/>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No evidence of impairment, confusion or disorientation.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No needs</w:t>
            </w:r>
          </w:p>
          <w:p w:rsidR="00BF01D8" w:rsidRDefault="00BF01D8"/>
        </w:tc>
      </w:tr>
      <w:tr w:rsidR="00BF01D8">
        <w:tblPrEx>
          <w:tblCellMar>
            <w:top w:w="0" w:type="dxa"/>
            <w:bottom w:w="0" w:type="dxa"/>
          </w:tblCellMar>
        </w:tblPrEx>
        <w:trPr>
          <w:trHeight w:val="2293"/>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Cognitive impairment which requires some supervision, prompting or assistance with more complex activities of daily living, such as finance </w:t>
            </w:r>
            <w:r>
              <w:t>and medication, but awareness of basic risks that affect their safety is evident.</w:t>
            </w:r>
          </w:p>
          <w:p w:rsidR="00BF01D8" w:rsidRDefault="00CB4F73">
            <w:r>
              <w:rPr>
                <w:rStyle w:val="DHGreen"/>
              </w:rPr>
              <w:t>OR</w:t>
            </w:r>
          </w:p>
          <w:p w:rsidR="00BF01D8" w:rsidRDefault="00CB4F73">
            <w:r>
              <w:t>Occasional difficulty with memory and decisions/choices requiring support, prompting or assistance. However, the individual has insight into their impairment.</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Low</w:t>
            </w:r>
          </w:p>
          <w:p w:rsidR="00BF01D8" w:rsidRDefault="00BF01D8"/>
        </w:tc>
      </w:tr>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Cognitive impairment (which may include some memory issues) that requires some supervision, prompting and/or assistance with basic care needs and daily living activities. Some awareness of needs and basic risks is evident. The individual is usually able to</w:t>
            </w:r>
            <w:r>
              <w:t xml:space="preserve"> make choices appropriate to needs with assistance. However, the individual has limited ability even with supervision, prompting or assistance to make decisions about some aspects of their lives, which consequently puts them at some risk of harm, neglect o</w:t>
            </w:r>
            <w:r>
              <w:t>r health deterioration.</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Moderate</w:t>
            </w:r>
          </w:p>
          <w:p w:rsidR="00BF01D8" w:rsidRDefault="00BF01D8"/>
        </w:tc>
      </w:tr>
      <w:tr w:rsidR="00BF01D8">
        <w:tblPrEx>
          <w:tblCellMar>
            <w:top w:w="0" w:type="dxa"/>
            <w:bottom w:w="0" w:type="dxa"/>
          </w:tblCellMar>
        </w:tblPrEx>
        <w:trPr>
          <w:trHeight w:val="263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Cognitive impairment that could, for example, include frequent short-term memory issues and maybe disorientation to time and place. The individual has awareness of only a limited range of needs and basic risks. </w:t>
            </w:r>
            <w:r>
              <w:t>Although they may be able to make some choices appropriate to need on a limited range of issues they are unable to consistently do so on most issues, even with supervision, prompting or assistance. The individual finds it difficult even with supervision, p</w:t>
            </w:r>
            <w:r>
              <w:t>rompting or assistance to make decisions about key aspects of their lives, which consequently puts them at high risk of harm, neglect or health deterioration.</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High</w:t>
            </w:r>
          </w:p>
          <w:p w:rsidR="00BF01D8" w:rsidRDefault="00BF01D8"/>
        </w:tc>
      </w:tr>
      <w:tr w:rsidR="00BF01D8">
        <w:tblPrEx>
          <w:tblCellMar>
            <w:top w:w="0" w:type="dxa"/>
            <w:bottom w:w="0" w:type="dxa"/>
          </w:tblCellMar>
        </w:tblPrEx>
        <w:trPr>
          <w:trHeight w:val="1924"/>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Cognitive impairment that may, for example, include, marked short or long-term memory </w:t>
            </w:r>
            <w:r>
              <w:t xml:space="preserve">issues, or severe disorientation to time, place or person. </w:t>
            </w:r>
          </w:p>
          <w:p w:rsidR="00BF01D8" w:rsidRDefault="00CB4F73">
            <w:r>
              <w:t xml:space="preserve">The individual is unable to assess basic risks even with supervision, prompting or assistance, and is dependent on others to anticipate their basic needs and to protect them from harm, neglect or </w:t>
            </w:r>
            <w:r>
              <w:t>health deterioration.</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Severe</w:t>
            </w:r>
          </w:p>
          <w:p w:rsidR="00BF01D8" w:rsidRDefault="00BF01D8"/>
        </w:tc>
      </w:tr>
    </w:tbl>
    <w:p w:rsidR="00BF01D8" w:rsidRDefault="00BF01D8"/>
    <w:p w:rsidR="00BF01D8" w:rsidRDefault="00BF01D8">
      <w:pPr>
        <w:pStyle w:val="NoSpacing"/>
      </w:pPr>
    </w:p>
    <w:p w:rsidR="00BF01D8" w:rsidRDefault="00CB4F73">
      <w:pPr>
        <w:pStyle w:val="Heading3"/>
      </w:pPr>
      <w:r>
        <w:lastRenderedPageBreak/>
        <w:t>Decision Support Tool for NHS Continuing Healthcare</w:t>
      </w:r>
      <w:r>
        <w:br/>
      </w:r>
      <w:r>
        <w:t>Section 2 – Care Domains</w:t>
      </w:r>
    </w:p>
    <w:p w:rsidR="00BF01D8" w:rsidRDefault="00CB4F73">
      <w:r>
        <w:t>Please refer to the user notes</w:t>
      </w:r>
    </w:p>
    <w:p w:rsidR="00BF01D8" w:rsidRDefault="00CB4F73">
      <w:r>
        <w:t xml:space="preserve">9. </w:t>
      </w:r>
      <w:r>
        <w:rPr>
          <w:rStyle w:val="DHGreen"/>
        </w:rPr>
        <w:t>Behaviour</w:t>
      </w:r>
      <w:r>
        <w:t xml:space="preserve">: Human behaviour is complex, hard to categorise, and may be difficult to manage. Challenging </w:t>
      </w:r>
      <w:r>
        <w:t xml:space="preserve">behaviour may be caused by a wide range of factors including extreme frustration associated with communication difficulties or fluctuations in mental state. </w:t>
      </w:r>
    </w:p>
    <w:p w:rsidR="00BF01D8" w:rsidRDefault="00CB4F73">
      <w:r>
        <w:t>Challenging behaviour in this domain includes but is not limited to:</w:t>
      </w:r>
    </w:p>
    <w:p w:rsidR="00BF01D8" w:rsidRDefault="00CB4F73">
      <w:pPr>
        <w:pStyle w:val="BulletList2"/>
        <w:numPr>
          <w:ilvl w:val="1"/>
          <w:numId w:val="1"/>
        </w:numPr>
      </w:pPr>
      <w:r>
        <w:t>aggression, violence or passi</w:t>
      </w:r>
      <w:r>
        <w:t>ve non-aggressive behaviour</w:t>
      </w:r>
    </w:p>
    <w:p w:rsidR="00BF01D8" w:rsidRDefault="00CB4F73">
      <w:pPr>
        <w:pStyle w:val="BulletList2"/>
        <w:numPr>
          <w:ilvl w:val="1"/>
          <w:numId w:val="1"/>
        </w:numPr>
      </w:pPr>
      <w:r>
        <w:t>severe disinhibition</w:t>
      </w:r>
    </w:p>
    <w:p w:rsidR="00BF01D8" w:rsidRDefault="00CB4F73">
      <w:pPr>
        <w:pStyle w:val="BulletList2"/>
        <w:numPr>
          <w:ilvl w:val="1"/>
          <w:numId w:val="1"/>
        </w:numPr>
      </w:pPr>
      <w:r>
        <w:t>intractable noisiness or restlessness</w:t>
      </w:r>
    </w:p>
    <w:p w:rsidR="00BF01D8" w:rsidRDefault="00CB4F73">
      <w:pPr>
        <w:pStyle w:val="BulletList2"/>
        <w:numPr>
          <w:ilvl w:val="1"/>
          <w:numId w:val="1"/>
        </w:numPr>
      </w:pPr>
      <w:r>
        <w:t>resistance to necessary care and treatment (but not including situations where an individual makes a capacitated choice not to accept a particular form of care or treatm</w:t>
      </w:r>
      <w:r>
        <w:t xml:space="preserve">ent offered.) </w:t>
      </w:r>
    </w:p>
    <w:p w:rsidR="00BF01D8" w:rsidRDefault="00CB4F73">
      <w:pPr>
        <w:pStyle w:val="BulletList2"/>
        <w:numPr>
          <w:ilvl w:val="1"/>
          <w:numId w:val="1"/>
        </w:numPr>
      </w:pPr>
      <w:r>
        <w:t>severe fluctuations in mental state</w:t>
      </w:r>
    </w:p>
    <w:p w:rsidR="00BF01D8" w:rsidRDefault="00CB4F73">
      <w:pPr>
        <w:pStyle w:val="BulletList2"/>
        <w:numPr>
          <w:ilvl w:val="1"/>
          <w:numId w:val="1"/>
        </w:numPr>
      </w:pPr>
      <w:r>
        <w:t>inappropriate interference with others</w:t>
      </w:r>
    </w:p>
    <w:p w:rsidR="00BF01D8" w:rsidRDefault="00CB4F73">
      <w:pPr>
        <w:pStyle w:val="BulletList2"/>
        <w:numPr>
          <w:ilvl w:val="1"/>
          <w:numId w:val="1"/>
        </w:numPr>
      </w:pPr>
      <w:r>
        <w:t>identified high risk of suicide</w:t>
      </w:r>
    </w:p>
    <w:tbl>
      <w:tblPr>
        <w:tblW w:w="10560" w:type="dxa"/>
        <w:tblLayout w:type="fixed"/>
        <w:tblCellMar>
          <w:left w:w="10" w:type="dxa"/>
          <w:right w:w="10" w:type="dxa"/>
        </w:tblCellMar>
        <w:tblLook w:val="0000" w:firstRow="0" w:lastRow="0" w:firstColumn="0" w:lastColumn="0" w:noHBand="0" w:noVBand="0"/>
      </w:tblPr>
      <w:tblGrid>
        <w:gridCol w:w="10560"/>
      </w:tblGrid>
      <w:tr w:rsidR="00BF01D8">
        <w:tblPrEx>
          <w:tblCellMar>
            <w:top w:w="0" w:type="dxa"/>
            <w:bottom w:w="0" w:type="dxa"/>
          </w:tblCellMar>
        </w:tblPrEx>
        <w:trPr>
          <w:trHeight w:val="7260"/>
        </w:trPr>
        <w:tc>
          <w:tcPr>
            <w:tcW w:w="1056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CB4F73">
            <w:r>
              <w:rPr>
                <w:rStyle w:val="Bold"/>
              </w:rPr>
              <w:t xml:space="preserve">1. Describe the actual needs of the individual, including any episodic needs. Provide the evidence that informs the decision overleaf </w:t>
            </w:r>
            <w:r>
              <w:rPr>
                <w:rStyle w:val="Bold"/>
              </w:rPr>
              <w:t>on which level is appropriate, such as the times and situations when the behaviour to likely to be performed across a range of typical daily routines and the frequency, duration and impact of the behaviour.</w:t>
            </w:r>
          </w:p>
          <w:p w:rsidR="00BF01D8" w:rsidRDefault="00CB4F73">
            <w:r>
              <w:rPr>
                <w:rStyle w:val="Bold"/>
              </w:rPr>
              <w:t>2. Note any overlap with other domains.</w:t>
            </w:r>
          </w:p>
          <w:p w:rsidR="00BF01D8" w:rsidRDefault="00CB4F73">
            <w:r>
              <w:rPr>
                <w:rStyle w:val="Bold"/>
              </w:rPr>
              <w:t>3. Circle</w:t>
            </w:r>
            <w:r>
              <w:rPr>
                <w:rStyle w:val="Bold"/>
              </w:rPr>
              <w:t xml:space="preserve"> the assessed level overleaf.</w:t>
            </w:r>
          </w:p>
        </w:tc>
      </w:tr>
    </w:tbl>
    <w:p w:rsidR="00BF01D8" w:rsidRDefault="00CB4F73">
      <w:r>
        <w:t>The assessment of needs of an individual with serious behavioural issues should include specific consideration of the risk(s) to themselves, others or property with particular attention to aggression, self-harm and self-negle</w:t>
      </w:r>
      <w:r>
        <w:t>ct and any other behaviour(s), irrespective of their living environment.</w:t>
      </w:r>
    </w:p>
    <w:p w:rsidR="00BF01D8" w:rsidRDefault="00BF01D8">
      <w:pPr>
        <w:pStyle w:val="Heading3"/>
      </w:pPr>
    </w:p>
    <w:p w:rsidR="00BF01D8" w:rsidRDefault="00CB4F73">
      <w:pPr>
        <w:pStyle w:val="Heading3"/>
      </w:pPr>
      <w:r>
        <w:lastRenderedPageBreak/>
        <w:t>Decision Support Tool for NHS Continuing Healthcare</w:t>
      </w:r>
      <w:r>
        <w:br/>
      </w:r>
      <w:r>
        <w:t>Section 2 – Care Domains</w:t>
      </w:r>
    </w:p>
    <w:p w:rsidR="00BF01D8" w:rsidRDefault="00CB4F73">
      <w:r>
        <w:t>Please refer to the user notes</w:t>
      </w:r>
    </w:p>
    <w:p w:rsidR="00BF01D8" w:rsidRDefault="00CB4F73">
      <w:r>
        <w:rPr>
          <w:rStyle w:val="Bold"/>
        </w:rPr>
        <w:t>9. Behaviour</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rPr>
                <w:rStyle w:val="Bold"/>
              </w:rPr>
              <w:t>Description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rPr>
                <w:rStyle w:val="Bold"/>
              </w:rPr>
              <w:t>Level of need</w:t>
            </w:r>
          </w:p>
        </w:tc>
      </w:tr>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No evidence of ‘challenging’ </w:t>
            </w:r>
            <w:r>
              <w:t>behaviour.</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No needs</w:t>
            </w:r>
          </w:p>
          <w:p w:rsidR="00BF01D8" w:rsidRDefault="00BF01D8"/>
        </w:tc>
      </w:tr>
      <w:tr w:rsidR="00BF01D8">
        <w:tblPrEx>
          <w:tblCellMar>
            <w:top w:w="0" w:type="dxa"/>
            <w:bottom w:w="0" w:type="dxa"/>
          </w:tblCellMar>
        </w:tblPrEx>
        <w:trPr>
          <w:trHeight w:val="87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Some incidents of ‘challenging’ behaviour. A risk assessment indicates that the behaviour does not pose a risk to self, others or property or create a barrier to intervention. The individual is compliant with all aspects of their c</w:t>
            </w:r>
            <w:r>
              <w:t>are.</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Low</w:t>
            </w:r>
          </w:p>
          <w:p w:rsidR="00BF01D8" w:rsidRDefault="00BF01D8"/>
        </w:tc>
      </w:tr>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‘Challenging’ behaviour that follows a predictable pattern. The risk assessment indicates a pattern of behaviour that can be managed by skilled carers or care workers who are able to maintain a level of behaviour that does not pose a risk to </w:t>
            </w:r>
            <w:r>
              <w:t xml:space="preserve">self, others or property. The individual is nearly always compliant with care.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Moderate</w:t>
            </w:r>
          </w:p>
          <w:p w:rsidR="00BF01D8" w:rsidRDefault="00BF01D8"/>
        </w:tc>
      </w:tr>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’Challenging’ behaviour of type and/or frequency that poses a predictable risk to self, others or property. The risk assessment indicates that planned </w:t>
            </w:r>
            <w:r>
              <w:t>interventions are effective in minimising but not always eliminating risks. Compliance is variable but usually responsive to planned interventions.</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High</w:t>
            </w:r>
          </w:p>
          <w:p w:rsidR="00BF01D8" w:rsidRDefault="00BF01D8"/>
        </w:tc>
      </w:tr>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‘Challenging’ behaviour of severity and/or frequency that poses a significant risk to self, others</w:t>
            </w:r>
            <w:r>
              <w:t xml:space="preserve"> or property. The risk assessment identifies that the behaviour(s) require(s) a prompt and skilled response that might be outside the range of planned interventions.</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Severe</w:t>
            </w:r>
          </w:p>
          <w:p w:rsidR="00BF01D8" w:rsidRDefault="00BF01D8"/>
        </w:tc>
      </w:tr>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‘Challenging’ behaviour of a severity and/or frequency and/or unpredictability</w:t>
            </w:r>
            <w:r>
              <w:t xml:space="preserve"> that presents an immediate and serious risk to self, others or property. The risks are so serious that they require access to an immediate and skilled response at all times for safe care.</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Priority</w:t>
            </w:r>
          </w:p>
          <w:p w:rsidR="00BF01D8" w:rsidRDefault="00BF01D8"/>
        </w:tc>
      </w:tr>
    </w:tbl>
    <w:p w:rsidR="00BF01D8" w:rsidRDefault="00BF01D8"/>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CB4F73">
      <w:pPr>
        <w:pStyle w:val="Heading3"/>
      </w:pPr>
      <w:r>
        <w:lastRenderedPageBreak/>
        <w:t xml:space="preserve">Decision Support Tool for NHS Continuing </w:t>
      </w:r>
      <w:r>
        <w:t>Healthcare</w:t>
      </w:r>
      <w:r>
        <w:br/>
      </w:r>
      <w:r>
        <w:t>Section 2 – Care Domains</w:t>
      </w:r>
    </w:p>
    <w:p w:rsidR="00BF01D8" w:rsidRDefault="00CB4F73">
      <w:r>
        <w:t>Please refer to the user notes</w:t>
      </w:r>
    </w:p>
    <w:p w:rsidR="00BF01D8" w:rsidRDefault="00CB4F73">
      <w:r>
        <w:t xml:space="preserve">10. </w:t>
      </w:r>
      <w:r>
        <w:rPr>
          <w:rStyle w:val="DHGreen"/>
        </w:rPr>
        <w:t>Drug Therapies and Medication: Symptom Control</w:t>
      </w:r>
      <w:r>
        <w:t>: The individual’s experience of how their symptoms are managed and the intensity of those symptoms is an important factor in determining t</w:t>
      </w:r>
      <w:r>
        <w:t>he level of need in this area. Where this affects other aspects of their life, please refer to the other domains, especially the psychological and emotional domain. The location of care will influence who gives the medication. In determining the level of n</w:t>
      </w:r>
      <w:r>
        <w:t>eed, it is the knowledge and skill required to manage the clinical need and the interaction of the medication in relation to the need that is the determining factor. In some situations, an individual or their carer will be managing their own medication and</w:t>
      </w:r>
      <w:r>
        <w:t xml:space="preserve"> this can require a high level of skill. References below to medication being required to be administered by a registered nurse do not include where such administration is purely a registration or practice requirement of the care setting (such as a care ho</w:t>
      </w:r>
      <w:r>
        <w:t>me requiring all medication to be administered by a registered nurse).</w:t>
      </w:r>
    </w:p>
    <w:tbl>
      <w:tblPr>
        <w:tblW w:w="10428" w:type="dxa"/>
        <w:tblInd w:w="85" w:type="dxa"/>
        <w:tblLayout w:type="fixed"/>
        <w:tblCellMar>
          <w:left w:w="10" w:type="dxa"/>
          <w:right w:w="10" w:type="dxa"/>
        </w:tblCellMar>
        <w:tblLook w:val="0000" w:firstRow="0" w:lastRow="0" w:firstColumn="0" w:lastColumn="0" w:noHBand="0" w:noVBand="0"/>
      </w:tblPr>
      <w:tblGrid>
        <w:gridCol w:w="10428"/>
      </w:tblGrid>
      <w:tr w:rsidR="00BF01D8">
        <w:tblPrEx>
          <w:tblCellMar>
            <w:top w:w="0" w:type="dxa"/>
            <w:bottom w:w="0" w:type="dxa"/>
          </w:tblCellMar>
        </w:tblPrEx>
        <w:trPr>
          <w:trHeight w:val="7696"/>
        </w:trPr>
        <w:tc>
          <w:tcPr>
            <w:tcW w:w="10428"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CB4F73">
            <w:r>
              <w:rPr>
                <w:rStyle w:val="Bold"/>
              </w:rPr>
              <w:t xml:space="preserve">1. Describe below the actual needs of the individual and provide the evidence that informs the decision overleaf on which level is appropriate, including the frequency and intensity of </w:t>
            </w:r>
            <w:r>
              <w:rPr>
                <w:rStyle w:val="Bold"/>
              </w:rPr>
              <w:t>need, unpredictability, deterioration and any instability.</w:t>
            </w:r>
          </w:p>
          <w:p w:rsidR="00BF01D8" w:rsidRDefault="00CB4F73">
            <w:r>
              <w:rPr>
                <w:rStyle w:val="Bold"/>
              </w:rPr>
              <w:t>2. Circle the assessed level overleaf.</w:t>
            </w:r>
          </w:p>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tc>
      </w:tr>
    </w:tbl>
    <w:p w:rsidR="00BF01D8" w:rsidRDefault="00BF01D8">
      <w:pPr>
        <w:pStyle w:val="Heading3"/>
      </w:pPr>
    </w:p>
    <w:p w:rsidR="00BF01D8" w:rsidRDefault="00CB4F73">
      <w:pPr>
        <w:pStyle w:val="Heading3"/>
      </w:pPr>
      <w:r>
        <w:lastRenderedPageBreak/>
        <w:t>Decision Support Tool for NHS Continuing Healthcare</w:t>
      </w:r>
      <w:r>
        <w:br/>
      </w:r>
      <w:r>
        <w:t>Section 2 – Care Domains</w:t>
      </w:r>
    </w:p>
    <w:p w:rsidR="00BF01D8" w:rsidRDefault="00CB4F73">
      <w:r>
        <w:t>Please refer to the user notes</w:t>
      </w:r>
    </w:p>
    <w:p w:rsidR="00BF01D8" w:rsidRDefault="00CB4F73">
      <w:r>
        <w:rPr>
          <w:rStyle w:val="Bold"/>
        </w:rPr>
        <w:t xml:space="preserve">10. Drug Therapies and </w:t>
      </w:r>
      <w:r>
        <w:rPr>
          <w:rStyle w:val="Bold"/>
        </w:rPr>
        <w:t>Medication: Symptom Control</w:t>
      </w:r>
    </w:p>
    <w:tbl>
      <w:tblPr>
        <w:tblW w:w="10642" w:type="dxa"/>
        <w:tblInd w:w="-137" w:type="dxa"/>
        <w:tblLayout w:type="fixed"/>
        <w:tblCellMar>
          <w:left w:w="10" w:type="dxa"/>
          <w:right w:w="10" w:type="dxa"/>
        </w:tblCellMar>
        <w:tblLook w:val="0000" w:firstRow="0" w:lastRow="0" w:firstColumn="0" w:lastColumn="0" w:noHBand="0" w:noVBand="0"/>
      </w:tblPr>
      <w:tblGrid>
        <w:gridCol w:w="9073"/>
        <w:gridCol w:w="1569"/>
      </w:tblGrid>
      <w:tr w:rsidR="00BF01D8">
        <w:tblPrEx>
          <w:tblCellMar>
            <w:top w:w="0" w:type="dxa"/>
            <w:bottom w:w="0" w:type="dxa"/>
          </w:tblCellMar>
        </w:tblPrEx>
        <w:trPr>
          <w:trHeight w:val="744"/>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rPr>
                <w:rStyle w:val="Bold"/>
              </w:rPr>
              <w:t>Description</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rPr>
                <w:rStyle w:val="Bold"/>
              </w:rPr>
              <w:t>Level of need</w:t>
            </w:r>
          </w:p>
        </w:tc>
      </w:tr>
      <w:tr w:rsidR="00BF01D8">
        <w:tblPrEx>
          <w:tblCellMar>
            <w:top w:w="0" w:type="dxa"/>
            <w:bottom w:w="0" w:type="dxa"/>
          </w:tblCellMar>
        </w:tblPrEx>
        <w:trPr>
          <w:trHeight w:val="824"/>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Symptoms are managed effectively and without any problems, and medication is not resulting in any unmanageable side-effects.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No needs</w:t>
            </w:r>
          </w:p>
          <w:p w:rsidR="00BF01D8" w:rsidRDefault="00BF01D8"/>
        </w:tc>
      </w:tr>
      <w:tr w:rsidR="00BF01D8">
        <w:tblPrEx>
          <w:tblCellMar>
            <w:top w:w="0" w:type="dxa"/>
            <w:bottom w:w="0" w:type="dxa"/>
          </w:tblCellMar>
        </w:tblPrEx>
        <w:trPr>
          <w:trHeight w:val="60"/>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Requires supervision/administration of and/or prompting with </w:t>
            </w:r>
            <w:r>
              <w:t>medication but shows compliance with medication regime.</w:t>
            </w:r>
          </w:p>
          <w:p w:rsidR="00BF01D8" w:rsidRDefault="00CB4F73">
            <w:pPr>
              <w:pStyle w:val="NoSpacing"/>
            </w:pPr>
            <w:r>
              <w:rPr>
                <w:rStyle w:val="DHGreen"/>
              </w:rPr>
              <w:t>OR</w:t>
            </w:r>
          </w:p>
          <w:p w:rsidR="00BF01D8" w:rsidRDefault="00CB4F73">
            <w:pPr>
              <w:pStyle w:val="NoSpacing"/>
            </w:pPr>
            <w:r>
              <w:t>Mild pain that is predictable and/or is associated with certain activities of daily living. Pain and other symptoms do not have an impact on the provision of care.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Low</w:t>
            </w:r>
          </w:p>
          <w:p w:rsidR="00BF01D8" w:rsidRDefault="00BF01D8"/>
        </w:tc>
      </w:tr>
      <w:tr w:rsidR="00BF01D8">
        <w:tblPrEx>
          <w:tblCellMar>
            <w:top w:w="0" w:type="dxa"/>
            <w:bottom w:w="0" w:type="dxa"/>
          </w:tblCellMar>
        </w:tblPrEx>
        <w:trPr>
          <w:trHeight w:val="60"/>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Requires the </w:t>
            </w:r>
            <w:r>
              <w:t>administration of medication (by a registered nurse, carer or care worker) due to:</w:t>
            </w:r>
          </w:p>
          <w:p w:rsidR="00BF01D8" w:rsidRDefault="00CB4F73">
            <w:pPr>
              <w:pStyle w:val="NoSpacing"/>
            </w:pPr>
            <w:r>
              <w:t>non-compliance, or type of medication (for example insulin), or</w:t>
            </w:r>
          </w:p>
          <w:p w:rsidR="00BF01D8" w:rsidRDefault="00CB4F73">
            <w:pPr>
              <w:pStyle w:val="NoSpacing"/>
            </w:pPr>
            <w:r>
              <w:t>route of medication (for example PEG).</w:t>
            </w:r>
          </w:p>
          <w:p w:rsidR="00BF01D8" w:rsidRDefault="00CB4F73">
            <w:pPr>
              <w:pStyle w:val="NoSpacing"/>
            </w:pPr>
            <w:r>
              <w:rPr>
                <w:rStyle w:val="DHGreen"/>
              </w:rPr>
              <w:t>OR</w:t>
            </w:r>
          </w:p>
          <w:p w:rsidR="00BF01D8" w:rsidRDefault="00CB4F73">
            <w:pPr>
              <w:pStyle w:val="NoSpacing"/>
            </w:pPr>
            <w:r>
              <w:t>Moderate pain which follows a predictable pattern; or other symptom</w:t>
            </w:r>
            <w:r>
              <w:t>s which are having a moderate effect on other domains or on the provision of care.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Moderate</w:t>
            </w:r>
          </w:p>
          <w:p w:rsidR="00BF01D8" w:rsidRDefault="00BF01D8"/>
        </w:tc>
      </w:tr>
      <w:tr w:rsidR="00BF01D8">
        <w:tblPrEx>
          <w:tblCellMar>
            <w:top w:w="0" w:type="dxa"/>
            <w:bottom w:w="0" w:type="dxa"/>
          </w:tblCellMar>
        </w:tblPrEx>
        <w:trPr>
          <w:trHeight w:val="2108"/>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Requires administration and monitoring of medication regime by a registered nurse, carer or care worker specifically trained for the task because there are risks</w:t>
            </w:r>
            <w:r>
              <w:t xml:space="preserve"> associated with the potential fluctuation of the medical condition or mental state, or risks regarding the effectiveness of the medication or the potential nature or severity of side-effects. However, with such monitoring the condition is usually non-prob</w:t>
            </w:r>
            <w:r>
              <w:t>lematic to manage.</w:t>
            </w:r>
          </w:p>
          <w:p w:rsidR="00BF01D8" w:rsidRDefault="00CB4F73">
            <w:pPr>
              <w:pStyle w:val="NoSpacing"/>
            </w:pPr>
            <w:r>
              <w:rPr>
                <w:rStyle w:val="DHGreen"/>
              </w:rPr>
              <w:t>OR</w:t>
            </w:r>
          </w:p>
          <w:p w:rsidR="00BF01D8" w:rsidRDefault="00CB4F73">
            <w:pPr>
              <w:pStyle w:val="NoSpacing"/>
            </w:pPr>
            <w:r>
              <w:t>Moderate pain or other symptoms which is/are having a significant effect on other domains or on the provision of care.</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High</w:t>
            </w:r>
          </w:p>
          <w:p w:rsidR="00BF01D8" w:rsidRDefault="00BF01D8"/>
        </w:tc>
      </w:tr>
      <w:tr w:rsidR="00BF01D8">
        <w:tblPrEx>
          <w:tblCellMar>
            <w:top w:w="0" w:type="dxa"/>
            <w:bottom w:w="0" w:type="dxa"/>
          </w:tblCellMar>
        </w:tblPrEx>
        <w:trPr>
          <w:trHeight w:val="60"/>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Requires administration and monitoring of medication regime by a registered nurse, carer or care worker </w:t>
            </w:r>
            <w:r>
              <w:t xml:space="preserve">specifically trained for this task because there are risks associated with the potential fluctuation of the medical condition or mental state, or risks regarding the effectiveness of the medication or the potential nature or severity of side-effects. Even </w:t>
            </w:r>
            <w:r>
              <w:t>with such monitoring the condition is usually problematic to manage.</w:t>
            </w:r>
          </w:p>
          <w:p w:rsidR="00BF01D8" w:rsidRDefault="00CB4F73">
            <w:pPr>
              <w:pStyle w:val="NoSpacing"/>
            </w:pPr>
            <w:r>
              <w:rPr>
                <w:rStyle w:val="DHGreen"/>
              </w:rPr>
              <w:t>OR</w:t>
            </w:r>
          </w:p>
          <w:p w:rsidR="00BF01D8" w:rsidRDefault="00CB4F73">
            <w:pPr>
              <w:pStyle w:val="NoSpacing"/>
            </w:pPr>
            <w:r>
              <w:t>Severe recurrent or constant pain which is not responding to treatment.</w:t>
            </w:r>
          </w:p>
          <w:p w:rsidR="00BF01D8" w:rsidRDefault="00CB4F73">
            <w:pPr>
              <w:pStyle w:val="NoSpacing"/>
            </w:pPr>
            <w:r>
              <w:rPr>
                <w:rStyle w:val="DHGreen"/>
              </w:rPr>
              <w:t>OR</w:t>
            </w:r>
          </w:p>
          <w:p w:rsidR="00BF01D8" w:rsidRDefault="00CB4F73">
            <w:pPr>
              <w:pStyle w:val="NoSpacing"/>
            </w:pPr>
            <w:r>
              <w:t>Non-compliance with medication, placing them at risk of relapse.</w:t>
            </w:r>
          </w:p>
          <w:p w:rsidR="00BF01D8" w:rsidRDefault="00BF01D8">
            <w:pPr>
              <w:pStyle w:val="NoSpacing"/>
            </w:pP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Severe</w:t>
            </w:r>
          </w:p>
          <w:p w:rsidR="00BF01D8" w:rsidRDefault="00BF01D8"/>
        </w:tc>
      </w:tr>
      <w:tr w:rsidR="00BF01D8">
        <w:tblPrEx>
          <w:tblCellMar>
            <w:top w:w="0" w:type="dxa"/>
            <w:bottom w:w="0" w:type="dxa"/>
          </w:tblCellMar>
        </w:tblPrEx>
        <w:trPr>
          <w:trHeight w:val="1763"/>
        </w:trPr>
        <w:tc>
          <w:tcPr>
            <w:tcW w:w="9073"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Has a drug regime that requires </w:t>
            </w:r>
            <w:r>
              <w:t>daily monitoring by a registered nurse to ensure effective symptom and pain management associated with a rapidly changing and/or deteriorating condition.</w:t>
            </w:r>
          </w:p>
          <w:p w:rsidR="00BF01D8" w:rsidRDefault="00CB4F73">
            <w:pPr>
              <w:pStyle w:val="NoSpacing"/>
            </w:pPr>
            <w:r>
              <w:rPr>
                <w:rStyle w:val="DHGreen"/>
              </w:rPr>
              <w:t>OR</w:t>
            </w:r>
          </w:p>
          <w:p w:rsidR="00BF01D8" w:rsidRDefault="00CB4F73">
            <w:pPr>
              <w:pStyle w:val="NoSpacing"/>
            </w:pPr>
            <w:r>
              <w:t xml:space="preserve">Unremitting and overwhelming pain despite all efforts to control pain effectively.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Priority</w:t>
            </w:r>
          </w:p>
          <w:p w:rsidR="00BF01D8" w:rsidRDefault="00BF01D8"/>
        </w:tc>
      </w:tr>
    </w:tbl>
    <w:p w:rsidR="00BF01D8" w:rsidRDefault="00BF01D8">
      <w:pPr>
        <w:pStyle w:val="Heading3"/>
      </w:pPr>
    </w:p>
    <w:p w:rsidR="00BF01D8" w:rsidRDefault="00CB4F73">
      <w:pPr>
        <w:pStyle w:val="Heading3"/>
      </w:pPr>
      <w:r>
        <w:lastRenderedPageBreak/>
        <w:t>Decision Support Tool for NHS Continuing Healthcare</w:t>
      </w:r>
      <w:r>
        <w:br/>
      </w:r>
      <w:r>
        <w:t>Section 2 – Care Domains</w:t>
      </w:r>
    </w:p>
    <w:p w:rsidR="00BF01D8" w:rsidRDefault="00CB4F73">
      <w:r>
        <w:t>Please refer to the user notes</w:t>
      </w:r>
    </w:p>
    <w:p w:rsidR="00BF01D8" w:rsidRDefault="00CB4F73">
      <w:r>
        <w:t xml:space="preserve">11. </w:t>
      </w:r>
      <w:r>
        <w:rPr>
          <w:rStyle w:val="DHGreen"/>
        </w:rPr>
        <w:t>Altered States of Consciousness (ASC):</w:t>
      </w:r>
      <w:r>
        <w:t xml:space="preserve"> ASCs can be caused by a range of clinical conditions, including Transient Ischemic Attacks (TIAs), Epilep</w:t>
      </w:r>
      <w:r>
        <w:t>sy and Vasovagal Syncope. General drowsiness, for example would not constitute an ASC for the purposes of this domain unless associated with a diagnosed clinical condition.</w:t>
      </w:r>
    </w:p>
    <w:tbl>
      <w:tblPr>
        <w:tblW w:w="10472" w:type="dxa"/>
        <w:tblInd w:w="85" w:type="dxa"/>
        <w:tblLayout w:type="fixed"/>
        <w:tblCellMar>
          <w:left w:w="10" w:type="dxa"/>
          <w:right w:w="10" w:type="dxa"/>
        </w:tblCellMar>
        <w:tblLook w:val="0000" w:firstRow="0" w:lastRow="0" w:firstColumn="0" w:lastColumn="0" w:noHBand="0" w:noVBand="0"/>
      </w:tblPr>
      <w:tblGrid>
        <w:gridCol w:w="10472"/>
      </w:tblGrid>
      <w:tr w:rsidR="00BF01D8">
        <w:tblPrEx>
          <w:tblCellMar>
            <w:top w:w="0" w:type="dxa"/>
            <w:bottom w:w="0" w:type="dxa"/>
          </w:tblCellMar>
        </w:tblPrEx>
        <w:trPr>
          <w:trHeight w:val="11112"/>
        </w:trPr>
        <w:tc>
          <w:tcPr>
            <w:tcW w:w="10472"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CB4F73">
            <w:r>
              <w:rPr>
                <w:rStyle w:val="Bold"/>
              </w:rPr>
              <w:t>1.Describe below the actual needs of the individual providing the evidence that inf</w:t>
            </w:r>
            <w:r>
              <w:rPr>
                <w:rStyle w:val="Bold"/>
              </w:rPr>
              <w:t>orms the decision overleaf on which level is appropriate (referring to appropriate risk assessments), including the frequency and intensity of need, unpredictability, deterioration and any instability.</w:t>
            </w:r>
          </w:p>
          <w:p w:rsidR="00BF01D8" w:rsidRDefault="00CB4F73">
            <w:r>
              <w:rPr>
                <w:rStyle w:val="Bold"/>
              </w:rPr>
              <w:t>2. Circle the assessed level overleaf.</w:t>
            </w:r>
          </w:p>
        </w:tc>
      </w:tr>
    </w:tbl>
    <w:p w:rsidR="00BF01D8" w:rsidRDefault="00BF01D8">
      <w:pPr>
        <w:pStyle w:val="Heading3"/>
      </w:pPr>
    </w:p>
    <w:p w:rsidR="00BF01D8" w:rsidRDefault="00CB4F73">
      <w:pPr>
        <w:pStyle w:val="Heading3"/>
      </w:pPr>
      <w:r>
        <w:lastRenderedPageBreak/>
        <w:t xml:space="preserve">Decision </w:t>
      </w:r>
      <w:r>
        <w:t>Support Tool for NHS Continuing Healthcare</w:t>
      </w:r>
      <w:r>
        <w:br/>
      </w:r>
      <w:r>
        <w:t>Section 2 – Care Domains</w:t>
      </w:r>
    </w:p>
    <w:p w:rsidR="00BF01D8" w:rsidRDefault="00CB4F73">
      <w:r>
        <w:t>Please refer to the user notes</w:t>
      </w:r>
    </w:p>
    <w:p w:rsidR="00BF01D8" w:rsidRDefault="00CB4F73">
      <w:r>
        <w:rPr>
          <w:rStyle w:val="Bold"/>
        </w:rPr>
        <w:t>11. Altered States of Consciousness (ASC)</w:t>
      </w:r>
    </w:p>
    <w:tbl>
      <w:tblPr>
        <w:tblW w:w="10500" w:type="dxa"/>
        <w:tblInd w:w="5" w:type="dxa"/>
        <w:tblLayout w:type="fixed"/>
        <w:tblCellMar>
          <w:left w:w="10" w:type="dxa"/>
          <w:right w:w="10" w:type="dxa"/>
        </w:tblCellMar>
        <w:tblLook w:val="0000" w:firstRow="0" w:lastRow="0" w:firstColumn="0" w:lastColumn="0" w:noHBand="0" w:noVBand="0"/>
      </w:tblPr>
      <w:tblGrid>
        <w:gridCol w:w="8505"/>
        <w:gridCol w:w="1995"/>
      </w:tblGrid>
      <w:tr w:rsidR="00BF01D8">
        <w:tblPrEx>
          <w:tblCellMar>
            <w:top w:w="0" w:type="dxa"/>
            <w:bottom w:w="0" w:type="dxa"/>
          </w:tblCellMar>
        </w:tblPrEx>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rPr>
                <w:rStyle w:val="Bold"/>
              </w:rPr>
              <w:t>Description</w:t>
            </w:r>
          </w:p>
          <w:p w:rsidR="00BF01D8" w:rsidRDefault="00BF01D8"/>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rPr>
                <w:rStyle w:val="Bold"/>
              </w:rPr>
              <w:t>Level of need</w:t>
            </w:r>
          </w:p>
          <w:p w:rsidR="00BF01D8" w:rsidRDefault="00BF01D8"/>
        </w:tc>
      </w:tr>
      <w:tr w:rsidR="00BF01D8">
        <w:tblPrEx>
          <w:tblCellMar>
            <w:top w:w="0" w:type="dxa"/>
            <w:bottom w:w="0" w:type="dxa"/>
          </w:tblCellMar>
        </w:tblPrEx>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No evidence of altered states of consciousness (ASC).</w:t>
            </w:r>
          </w:p>
          <w:p w:rsidR="00BF01D8" w:rsidRDefault="00BF01D8"/>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No needs</w:t>
            </w:r>
          </w:p>
          <w:p w:rsidR="00BF01D8" w:rsidRDefault="00BF01D8"/>
        </w:tc>
      </w:tr>
      <w:tr w:rsidR="00BF01D8">
        <w:tblPrEx>
          <w:tblCellMar>
            <w:top w:w="0" w:type="dxa"/>
            <w:bottom w:w="0" w:type="dxa"/>
          </w:tblCellMar>
        </w:tblPrEx>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History of ASC but i</w:t>
            </w:r>
            <w:r>
              <w:t>t is effectively managed and there is a low risk of harm.</w:t>
            </w:r>
          </w:p>
          <w:p w:rsidR="00BF01D8" w:rsidRDefault="00BF01D8"/>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Low</w:t>
            </w:r>
          </w:p>
          <w:p w:rsidR="00BF01D8" w:rsidRDefault="00BF01D8"/>
        </w:tc>
      </w:tr>
      <w:tr w:rsidR="00BF01D8">
        <w:tblPrEx>
          <w:tblCellMar>
            <w:top w:w="0" w:type="dxa"/>
            <w:bottom w:w="0" w:type="dxa"/>
          </w:tblCellMar>
        </w:tblPrEx>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Occasional (monthly or less frequently) episodes of ASC that require the supervision of a carer or care worker to minimise the risk of harm.</w:t>
            </w:r>
          </w:p>
          <w:p w:rsidR="00BF01D8" w:rsidRDefault="00BF01D8"/>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Moderate</w:t>
            </w:r>
          </w:p>
          <w:p w:rsidR="00BF01D8" w:rsidRDefault="00BF01D8"/>
        </w:tc>
      </w:tr>
      <w:tr w:rsidR="00BF01D8">
        <w:tblPrEx>
          <w:tblCellMar>
            <w:top w:w="0" w:type="dxa"/>
            <w:bottom w:w="0" w:type="dxa"/>
          </w:tblCellMar>
        </w:tblPrEx>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 xml:space="preserve">Frequent episodes of ASC that require </w:t>
            </w:r>
            <w:r>
              <w:t>the supervision of a carer or care worker to minimise the risk of harm.</w:t>
            </w:r>
          </w:p>
          <w:p w:rsidR="00BF01D8" w:rsidRDefault="00CB4F73">
            <w:r>
              <w:t>OR</w:t>
            </w:r>
          </w:p>
          <w:p w:rsidR="00BF01D8" w:rsidRDefault="00CB4F73">
            <w:r>
              <w:t>Occasional ASCs that require skilled intervention to reduce the risk of harm.</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High</w:t>
            </w:r>
          </w:p>
          <w:p w:rsidR="00BF01D8" w:rsidRDefault="00BF01D8"/>
        </w:tc>
      </w:tr>
      <w:tr w:rsidR="00BF01D8">
        <w:tblPrEx>
          <w:tblCellMar>
            <w:top w:w="0" w:type="dxa"/>
            <w:bottom w:w="0" w:type="dxa"/>
          </w:tblCellMar>
        </w:tblPrEx>
        <w:trPr>
          <w:trHeight w:val="396"/>
        </w:trPr>
        <w:tc>
          <w:tcPr>
            <w:tcW w:w="8505"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Coma.</w:t>
            </w:r>
          </w:p>
          <w:p w:rsidR="00BF01D8" w:rsidRDefault="00CB4F73">
            <w:r>
              <w:t>OR</w:t>
            </w:r>
          </w:p>
          <w:p w:rsidR="00BF01D8" w:rsidRDefault="00CB4F73">
            <w:r>
              <w:t xml:space="preserve">ASC that occur on most days, do not respond to preventative treatment, and result in a </w:t>
            </w:r>
            <w:r>
              <w:t>severe risk of harm.</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Priority</w:t>
            </w:r>
          </w:p>
          <w:p w:rsidR="00BF01D8" w:rsidRDefault="00BF01D8"/>
        </w:tc>
      </w:tr>
    </w:tbl>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 w:rsidR="00BF01D8" w:rsidRDefault="00BF01D8">
      <w:pPr>
        <w:pStyle w:val="Heading3"/>
      </w:pPr>
    </w:p>
    <w:p w:rsidR="00BF01D8" w:rsidRDefault="00CB4F73">
      <w:pPr>
        <w:pStyle w:val="Heading3"/>
      </w:pPr>
      <w:r>
        <w:lastRenderedPageBreak/>
        <w:t>Decision Support Tool for NHS Continuing Healthcare</w:t>
      </w:r>
      <w:r>
        <w:br/>
      </w:r>
      <w:r>
        <w:t>Section 2 – Care Domains</w:t>
      </w:r>
    </w:p>
    <w:p w:rsidR="00BF01D8" w:rsidRDefault="00CB4F73">
      <w:r>
        <w:t>Please refer to the user notes</w:t>
      </w:r>
    </w:p>
    <w:p w:rsidR="00BF01D8" w:rsidRDefault="00CB4F73">
      <w:r>
        <w:t xml:space="preserve">12. </w:t>
      </w:r>
      <w:r>
        <w:rPr>
          <w:rStyle w:val="DHGreen"/>
        </w:rPr>
        <w:t>Other significant care needs to be taken into consideration</w:t>
      </w:r>
      <w:r>
        <w:t xml:space="preserve">: There may be circumstances, on a </w:t>
      </w:r>
      <w:r>
        <w:t>case-by-case basis, where an individual may have particular needs which do not fall into the care domains described above or cannot be adequately reflected in these domains. If the boxes within each domain that give space for explanatory notes are not suff</w:t>
      </w:r>
      <w:r>
        <w:t>icient to document all needs, it is the responsibility of the assessors to determine and record the extent and type of these needs here. The severity of this need and its impact on the individual need to be weighted, using the professional judgement of the</w:t>
      </w:r>
      <w:r>
        <w:t xml:space="preserve"> assessors, in a similar way to the other domains. This weighting also needs to be used in the final decision. It is important that the agreed level is consistent with the levels set out in the other domains. The availability of this domain should not be u</w:t>
      </w:r>
      <w:r>
        <w:t>sed to inappropriately affect the overall decision on eligibility.</w:t>
      </w:r>
    </w:p>
    <w:tbl>
      <w:tblPr>
        <w:tblW w:w="10502" w:type="dxa"/>
        <w:tblInd w:w="85" w:type="dxa"/>
        <w:tblLayout w:type="fixed"/>
        <w:tblCellMar>
          <w:left w:w="10" w:type="dxa"/>
          <w:right w:w="10" w:type="dxa"/>
        </w:tblCellMar>
        <w:tblLook w:val="0000" w:firstRow="0" w:lastRow="0" w:firstColumn="0" w:lastColumn="0" w:noHBand="0" w:noVBand="0"/>
      </w:tblPr>
      <w:tblGrid>
        <w:gridCol w:w="10502"/>
      </w:tblGrid>
      <w:tr w:rsidR="00BF01D8">
        <w:tblPrEx>
          <w:tblCellMar>
            <w:top w:w="0" w:type="dxa"/>
            <w:bottom w:w="0" w:type="dxa"/>
          </w:tblCellMar>
        </w:tblPrEx>
        <w:trPr>
          <w:trHeight w:val="9539"/>
        </w:trPr>
        <w:tc>
          <w:tcPr>
            <w:tcW w:w="10502"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CB4F73">
            <w:r>
              <w:rPr>
                <w:rStyle w:val="Bold"/>
              </w:rPr>
              <w:t>1. Enter below a brief description of the actual needs of the individual, including providing the evidence why the level in the table overleaf has been chosen (referring to appropriate risk</w:t>
            </w:r>
            <w:r>
              <w:rPr>
                <w:rStyle w:val="Bold"/>
              </w:rPr>
              <w:t xml:space="preserve"> assessments), and referring to the frequency and intensity of need, unpredictability, deterioration and any instability.</w:t>
            </w:r>
          </w:p>
          <w:p w:rsidR="00BF01D8" w:rsidRDefault="00CB4F73">
            <w:r>
              <w:rPr>
                <w:rStyle w:val="Bold"/>
              </w:rPr>
              <w:t>2. Circle the assessed level overleaf.</w:t>
            </w:r>
          </w:p>
        </w:tc>
      </w:tr>
    </w:tbl>
    <w:p w:rsidR="00BF01D8" w:rsidRDefault="00BF01D8">
      <w:pPr>
        <w:pStyle w:val="Heading3"/>
      </w:pPr>
    </w:p>
    <w:p w:rsidR="00BF01D8" w:rsidRDefault="00CB4F73">
      <w:pPr>
        <w:pStyle w:val="Heading3"/>
      </w:pPr>
      <w:r>
        <w:lastRenderedPageBreak/>
        <w:t>Decision Support Tool for NHS Continuing Healthcare</w:t>
      </w:r>
      <w:r>
        <w:br/>
      </w:r>
      <w:r>
        <w:t>Section 2 – Care Domains</w:t>
      </w:r>
    </w:p>
    <w:p w:rsidR="00BF01D8" w:rsidRDefault="00CB4F73">
      <w:r>
        <w:t xml:space="preserve">Please refer to </w:t>
      </w:r>
      <w:r>
        <w:t>the user notes</w:t>
      </w:r>
    </w:p>
    <w:p w:rsidR="00BF01D8" w:rsidRDefault="00CB4F73">
      <w:r>
        <w:rPr>
          <w:rStyle w:val="Bold"/>
        </w:rPr>
        <w:t>12: Other significant care needs to be taken into consideration</w:t>
      </w:r>
    </w:p>
    <w:tbl>
      <w:tblPr>
        <w:tblW w:w="10500" w:type="dxa"/>
        <w:tblInd w:w="5" w:type="dxa"/>
        <w:tblLayout w:type="fixed"/>
        <w:tblCellMar>
          <w:left w:w="10" w:type="dxa"/>
          <w:right w:w="10" w:type="dxa"/>
        </w:tblCellMar>
        <w:tblLook w:val="0000" w:firstRow="0" w:lastRow="0" w:firstColumn="0" w:lastColumn="0" w:noHBand="0" w:noVBand="0"/>
      </w:tblPr>
      <w:tblGrid>
        <w:gridCol w:w="8789"/>
        <w:gridCol w:w="1711"/>
      </w:tblGrid>
      <w:tr w:rsidR="00BF01D8">
        <w:tblPrEx>
          <w:tblCellMar>
            <w:top w:w="0" w:type="dxa"/>
            <w:bottom w:w="0" w:type="dxa"/>
          </w:tblCellMar>
        </w:tblPrEx>
        <w:trPr>
          <w:trHeight w:val="396"/>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r>
              <w:t>Description</w:t>
            </w:r>
          </w:p>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Level of need</w:t>
            </w:r>
          </w:p>
          <w:p w:rsidR="00BF01D8" w:rsidRDefault="00BF01D8"/>
        </w:tc>
      </w:tr>
      <w:tr w:rsidR="00BF01D8">
        <w:tblPrEx>
          <w:tblCellMar>
            <w:top w:w="0" w:type="dxa"/>
            <w:bottom w:w="0" w:type="dxa"/>
          </w:tblCellMar>
        </w:tblPrEx>
        <w:trPr>
          <w:trHeight w:val="93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 w:rsidR="00BF01D8" w:rsidRDefault="00BF01D8"/>
          <w:p w:rsidR="00BF01D8" w:rsidRDefault="00BF01D8"/>
          <w:p w:rsidR="00BF01D8" w:rsidRDefault="00BF01D8"/>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Low</w:t>
            </w:r>
          </w:p>
          <w:p w:rsidR="00BF01D8" w:rsidRDefault="00BF01D8"/>
        </w:tc>
      </w:tr>
      <w:tr w:rsidR="00BF01D8">
        <w:tblPrEx>
          <w:tblCellMar>
            <w:top w:w="0" w:type="dxa"/>
            <w:bottom w:w="0" w:type="dxa"/>
          </w:tblCellMar>
        </w:tblPrEx>
        <w:trPr>
          <w:trHeight w:val="93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 w:rsidR="00BF01D8" w:rsidRDefault="00BF01D8"/>
          <w:p w:rsidR="00BF01D8" w:rsidRDefault="00BF01D8"/>
          <w:p w:rsidR="00BF01D8" w:rsidRDefault="00BF01D8"/>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Moderate</w:t>
            </w:r>
          </w:p>
          <w:p w:rsidR="00BF01D8" w:rsidRDefault="00BF01D8"/>
        </w:tc>
      </w:tr>
      <w:tr w:rsidR="00BF01D8">
        <w:tblPrEx>
          <w:tblCellMar>
            <w:top w:w="0" w:type="dxa"/>
            <w:bottom w:w="0" w:type="dxa"/>
          </w:tblCellMar>
        </w:tblPrEx>
        <w:trPr>
          <w:trHeight w:val="93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 w:rsidR="00BF01D8" w:rsidRDefault="00BF01D8"/>
          <w:p w:rsidR="00BF01D8" w:rsidRDefault="00BF01D8"/>
          <w:p w:rsidR="00BF01D8" w:rsidRDefault="00BF01D8"/>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High</w:t>
            </w:r>
          </w:p>
          <w:p w:rsidR="00BF01D8" w:rsidRDefault="00BF01D8"/>
        </w:tc>
      </w:tr>
      <w:tr w:rsidR="00BF01D8">
        <w:tblPrEx>
          <w:tblCellMar>
            <w:top w:w="0" w:type="dxa"/>
            <w:bottom w:w="0" w:type="dxa"/>
          </w:tblCellMar>
        </w:tblPrEx>
        <w:trPr>
          <w:trHeight w:val="935"/>
        </w:trPr>
        <w:tc>
          <w:tcPr>
            <w:tcW w:w="878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 w:rsidR="00BF01D8" w:rsidRDefault="00BF01D8"/>
          <w:p w:rsidR="00BF01D8" w:rsidRDefault="00BF01D8"/>
          <w:p w:rsidR="00BF01D8" w:rsidRDefault="00BF01D8"/>
          <w:p w:rsidR="00BF01D8" w:rsidRDefault="00BF01D8"/>
        </w:tc>
        <w:tc>
          <w:tcPr>
            <w:tcW w:w="17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r>
              <w:t xml:space="preserve">  Severe</w:t>
            </w:r>
          </w:p>
          <w:p w:rsidR="00BF01D8" w:rsidRDefault="00BF01D8"/>
        </w:tc>
      </w:tr>
    </w:tbl>
    <w:p w:rsidR="00BF01D8" w:rsidRDefault="00BF01D8"/>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BF01D8">
      <w:pPr>
        <w:pStyle w:val="NoSpacing"/>
      </w:pPr>
    </w:p>
    <w:p w:rsidR="00BF01D8" w:rsidRDefault="00CB4F73">
      <w:pPr>
        <w:pStyle w:val="Heading3"/>
      </w:pPr>
      <w:r>
        <w:lastRenderedPageBreak/>
        <w:t>Decision Support Tool for NHS Continuing Healthcare</w:t>
      </w:r>
      <w:r>
        <w:br/>
      </w:r>
      <w:r>
        <w:t>Section 2 – Care Domains</w:t>
      </w:r>
    </w:p>
    <w:p w:rsidR="00BF01D8" w:rsidRDefault="00CB4F73">
      <w:pPr>
        <w:pStyle w:val="NoSpacing"/>
      </w:pPr>
      <w:r>
        <w:t>Please refer to the user notes</w:t>
      </w:r>
    </w:p>
    <w:tbl>
      <w:tblPr>
        <w:tblW w:w="9199" w:type="dxa"/>
        <w:tblLayout w:type="fixed"/>
        <w:tblCellMar>
          <w:left w:w="10" w:type="dxa"/>
          <w:right w:w="10" w:type="dxa"/>
        </w:tblCellMar>
        <w:tblLook w:val="0000" w:firstRow="0" w:lastRow="0" w:firstColumn="0" w:lastColumn="0" w:noHBand="0" w:noVBand="0"/>
      </w:tblPr>
      <w:tblGrid>
        <w:gridCol w:w="4109"/>
        <w:gridCol w:w="847"/>
        <w:gridCol w:w="847"/>
        <w:gridCol w:w="846"/>
        <w:gridCol w:w="847"/>
        <w:gridCol w:w="847"/>
        <w:gridCol w:w="856"/>
      </w:tblGrid>
      <w:tr w:rsidR="00BF01D8">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Care Domain </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P</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S</w:t>
            </w: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H</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M</w:t>
            </w: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L</w:t>
            </w: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CB4F73">
            <w:pPr>
              <w:pStyle w:val="NoSpacing"/>
            </w:pPr>
            <w:r>
              <w:t>N</w:t>
            </w:r>
          </w:p>
        </w:tc>
      </w:tr>
      <w:tr w:rsidR="00BF01D8">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Breathing</w:t>
            </w:r>
          </w:p>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r>
      <w:tr w:rsidR="00BF01D8">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Nutrition- Food and Drink</w:t>
            </w:r>
          </w:p>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r>
      <w:tr w:rsidR="00BF01D8">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Continence</w:t>
            </w:r>
          </w:p>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BF01D8" w:rsidRDefault="00BF01D8">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r>
      <w:tr w:rsidR="00BF01D8">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Skin (including tissue viability)</w:t>
            </w:r>
          </w:p>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FFFFFF"/>
            <w:tcMar>
              <w:top w:w="0" w:type="dxa"/>
              <w:left w:w="0" w:type="dxa"/>
              <w:bottom w:w="0" w:type="dxa"/>
              <w:right w:w="0" w:type="dxa"/>
            </w:tcMar>
            <w:vAlign w:val="center"/>
          </w:tcPr>
          <w:p w:rsidR="00BF01D8" w:rsidRDefault="00BF01D8">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r>
      <w:tr w:rsidR="00BF01D8">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Mobility </w:t>
            </w:r>
          </w:p>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r>
      <w:tr w:rsidR="00BF01D8">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Communication</w:t>
            </w:r>
          </w:p>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BF01D8" w:rsidRDefault="00BF01D8">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r>
      <w:tr w:rsidR="00BF01D8">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Psychological and Emotional Needs</w:t>
            </w:r>
          </w:p>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BF01D8" w:rsidRDefault="00BF01D8">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r>
      <w:tr w:rsidR="00BF01D8">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Cognition</w:t>
            </w:r>
          </w:p>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r>
      <w:tr w:rsidR="00BF01D8">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Behaviour</w:t>
            </w:r>
          </w:p>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r>
      <w:tr w:rsidR="00BF01D8">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Drug Therapies and Medication </w:t>
            </w:r>
          </w:p>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r>
      <w:tr w:rsidR="00BF01D8">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Altered States of Consciousness</w:t>
            </w:r>
          </w:p>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BF01D8" w:rsidRDefault="00BF01D8">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r>
      <w:tr w:rsidR="00BF01D8">
        <w:tblPrEx>
          <w:tblCellMar>
            <w:top w:w="0" w:type="dxa"/>
            <w:bottom w:w="0" w:type="dxa"/>
          </w:tblCellMar>
        </w:tblPrEx>
        <w:trPr>
          <w:trHeight w:val="688"/>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 xml:space="preserve">Other significant care needs </w:t>
            </w:r>
          </w:p>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000000"/>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r>
      <w:tr w:rsidR="00BF01D8">
        <w:tblPrEx>
          <w:tblCellMar>
            <w:top w:w="0" w:type="dxa"/>
            <w:bottom w:w="0" w:type="dxa"/>
          </w:tblCellMar>
        </w:tblPrEx>
        <w:trPr>
          <w:trHeight w:val="106"/>
        </w:trPr>
        <w:tc>
          <w:tcPr>
            <w:tcW w:w="4109"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CB4F73">
            <w:pPr>
              <w:pStyle w:val="NoSpacing"/>
            </w:pPr>
            <w:r>
              <w:t>Totals</w:t>
            </w:r>
          </w:p>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6"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4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F01D8" w:rsidRDefault="00BF01D8">
            <w:pPr>
              <w:pStyle w:val="NoSpacing"/>
            </w:pPr>
          </w:p>
        </w:tc>
      </w:tr>
    </w:tbl>
    <w:p w:rsidR="00BF01D8" w:rsidRDefault="00CB4F73">
      <w:pPr>
        <w:pStyle w:val="NoSpacing"/>
      </w:pPr>
      <w:r>
        <w:rPr>
          <w:rStyle w:val="Bold"/>
        </w:rPr>
        <w:t>Assessed Levels of Need</w:t>
      </w:r>
    </w:p>
    <w:p w:rsidR="00BF01D8" w:rsidRDefault="00CB4F73">
      <w:pPr>
        <w:pStyle w:val="Heading3"/>
        <w:pageBreakBefore/>
      </w:pPr>
      <w:r>
        <w:lastRenderedPageBreak/>
        <w:t>Decision Support Tool for NHS Continuing Healthcare</w:t>
      </w:r>
      <w:r>
        <w:br/>
      </w:r>
      <w:r>
        <w:t xml:space="preserve">Section 2 – </w:t>
      </w:r>
      <w:r>
        <w:t>Care Domains</w:t>
      </w:r>
    </w:p>
    <w:p w:rsidR="00BF01D8" w:rsidRDefault="00CB4F73">
      <w:r>
        <w:t>Please refer to the user notes</w:t>
      </w:r>
    </w:p>
    <w:p w:rsidR="00BF01D8" w:rsidRDefault="00CB4F73">
      <w:r>
        <w:rPr>
          <w:rStyle w:val="Bold"/>
        </w:rPr>
        <w:t>Please note below any views of the individual on the completion of the DST that have not been recorded above, including whether they agree with the domain levels selected. Where they disagree, this should be reco</w:t>
      </w:r>
      <w:r>
        <w:rPr>
          <w:rStyle w:val="Bold"/>
        </w:rPr>
        <w:t>rded below, including the reasons for their disagreement. Where the individual is represented or supported by a carer or advocate, their understanding of the individual’s views should be recorded.</w:t>
      </w:r>
    </w:p>
    <w:tbl>
      <w:tblPr>
        <w:tblW w:w="10470" w:type="dxa"/>
        <w:tblInd w:w="85" w:type="dxa"/>
        <w:tblLayout w:type="fixed"/>
        <w:tblCellMar>
          <w:left w:w="10" w:type="dxa"/>
          <w:right w:w="10" w:type="dxa"/>
        </w:tblCellMar>
        <w:tblLook w:val="0000" w:firstRow="0" w:lastRow="0" w:firstColumn="0" w:lastColumn="0" w:noHBand="0" w:noVBand="0"/>
      </w:tblPr>
      <w:tblGrid>
        <w:gridCol w:w="10470"/>
      </w:tblGrid>
      <w:tr w:rsidR="00BF01D8">
        <w:tblPrEx>
          <w:tblCellMar>
            <w:top w:w="0" w:type="dxa"/>
            <w:bottom w:w="0" w:type="dxa"/>
          </w:tblCellMar>
        </w:tblPrEx>
        <w:trPr>
          <w:trHeight w:val="10992"/>
        </w:trPr>
        <w:tc>
          <w:tcPr>
            <w:tcW w:w="1047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BF01D8"/>
        </w:tc>
      </w:tr>
    </w:tbl>
    <w:p w:rsidR="00BF01D8" w:rsidRDefault="00BF01D8"/>
    <w:p w:rsidR="00BF01D8" w:rsidRDefault="00CB4F73">
      <w:pPr>
        <w:pStyle w:val="Heading3"/>
      </w:pPr>
      <w:r>
        <w:lastRenderedPageBreak/>
        <w:t>Decision Support Tool for NHS Continuing Healthcare</w:t>
      </w:r>
      <w:r>
        <w:br/>
      </w:r>
      <w:r>
        <w:t>Section 3 – Recommendation</w:t>
      </w:r>
    </w:p>
    <w:p w:rsidR="00BF01D8" w:rsidRDefault="00CB4F73">
      <w:r>
        <w:t>Please refer to the user notes</w:t>
      </w:r>
    </w:p>
    <w:p w:rsidR="00BF01D8" w:rsidRDefault="00CB4F73">
      <w:pPr>
        <w:pStyle w:val="Heading4"/>
      </w:pPr>
      <w:r>
        <w:t>Recommendation of the multidisciplinary team filling in the DST</w:t>
      </w:r>
    </w:p>
    <w:p w:rsidR="00BF01D8" w:rsidRDefault="00CB4F73">
      <w:r>
        <w:rPr>
          <w:rStyle w:val="Bold"/>
        </w:rPr>
        <w:t xml:space="preserve">Please give a recommendation on the next page as to whether or not the individual is eligible for NHS Continuing Healthcare. This </w:t>
      </w:r>
      <w:r>
        <w:rPr>
          <w:rStyle w:val="Bold"/>
        </w:rPr>
        <w:t xml:space="preserve">should take into account the range and levels of need recorded in the Decision Support Tool and what this tells you about whether the individual has a primary health need. Any disagreement on levels used or areas where needs have been counted against more </w:t>
      </w:r>
      <w:r>
        <w:rPr>
          <w:rStyle w:val="Bold"/>
        </w:rPr>
        <w:t>than one domain should be highlighted here. Reaching a recommendation on whether the individual’s primary needs are health needs should include consideration of:</w:t>
      </w:r>
    </w:p>
    <w:p w:rsidR="00BF01D8" w:rsidRDefault="00CB4F73">
      <w:r>
        <w:rPr>
          <w:rStyle w:val="DHGreen"/>
        </w:rPr>
        <w:t>Nature</w:t>
      </w:r>
      <w:r>
        <w:t>: This describes the particular characteristics of an individual’s needs (which can incl</w:t>
      </w:r>
      <w:r>
        <w:t>ude physical, mental health, or psychological needs), and the type of those needs. This also describes the overall effect of those needs on the individual, including the type (‘quality’) of interventions required to manage them.</w:t>
      </w:r>
    </w:p>
    <w:p w:rsidR="00BF01D8" w:rsidRDefault="00CB4F73">
      <w:r>
        <w:rPr>
          <w:rStyle w:val="DHGreen"/>
        </w:rPr>
        <w:t>Intensity</w:t>
      </w:r>
      <w:r>
        <w:t xml:space="preserve">: This relates to </w:t>
      </w:r>
      <w:r>
        <w:t>both the extent (‘quantity’) and severity (degree) of the needs and the support required to meet them, including the need for sustained/ongoing care (‘continuity’).</w:t>
      </w:r>
    </w:p>
    <w:p w:rsidR="00BF01D8" w:rsidRDefault="00CB4F73">
      <w:r>
        <w:rPr>
          <w:rStyle w:val="DHGreen"/>
        </w:rPr>
        <w:t>Complexity</w:t>
      </w:r>
      <w:r>
        <w:t>: This is concerned with how the needs present and interact to increase the skill</w:t>
      </w:r>
      <w:r>
        <w:t xml:space="preserve"> required to monitor the symptoms, treat the condition(s) and/or manage the care. This may arise with a single condition, or it could include the presence of multiple conditions or the interactions between two or more conditions. It may also include situat</w:t>
      </w:r>
      <w:r>
        <w:t>ions where an individual's response to their own condition has an impact on their overall needs, such as when a physical health need results in the individual developing a mental health need.</w:t>
      </w:r>
    </w:p>
    <w:p w:rsidR="00BF01D8" w:rsidRDefault="00CB4F73">
      <w:r>
        <w:rPr>
          <w:rStyle w:val="DHGreen"/>
        </w:rPr>
        <w:t>Unpredictability</w:t>
      </w:r>
      <w:r>
        <w:t>: This describes the degree to which needs fluct</w:t>
      </w:r>
      <w:r>
        <w:t>uate and thereby create challenges in manging them. It also relates to the level of risk to the individual’s health if adequate and timely care is not provided. An individual with an unpredictable healthcare need is likely to have either a fluctuating, uns</w:t>
      </w:r>
      <w:r>
        <w:t>table or rapidly deteriorating condition.</w:t>
      </w:r>
    </w:p>
    <w:p w:rsidR="00BF01D8" w:rsidRDefault="00CB4F73">
      <w:r>
        <w:t>Each of these characteristics may, alone or in combination, demonstrate a primary health need, because of the quality and/or quantity of care that is required to meet the individual’s needs. The totality of the ove</w:t>
      </w:r>
      <w:r>
        <w:t>rall needs and the effects of the interaction of needs should be carefully considered when completing the DST.</w:t>
      </w:r>
    </w:p>
    <w:p w:rsidR="00BF01D8" w:rsidRDefault="00CB4F73">
      <w:r>
        <w:t>Also please indicate whether needs are expected to change (in terms of deterioration or improvement) before the case is next reviewed. If so, ple</w:t>
      </w:r>
      <w:r>
        <w:t>ase state why and what needs you think will be different and therefore whether you are recommending that eligibility should be agreed now or that an early review date should be set.</w:t>
      </w:r>
    </w:p>
    <w:p w:rsidR="00BF01D8" w:rsidRDefault="00CB4F73">
      <w:r>
        <w:t>Where there is no eligibility for NHS Continuing Healthcare and the assess</w:t>
      </w:r>
      <w:r>
        <w:t>ment and care plan, as agreed with the individual, indicates the need for support in a care home setting, the team should indicate whether there is the need for registered nursing care in the care home, giving a clear rationale based on the evidence above.</w:t>
      </w:r>
    </w:p>
    <w:p w:rsidR="00BF01D8" w:rsidRDefault="00BF01D8">
      <w:pPr>
        <w:pStyle w:val="Heading3"/>
        <w:rPr>
          <w:b w:val="0"/>
          <w:color w:val="auto"/>
          <w:sz w:val="24"/>
        </w:rPr>
      </w:pPr>
    </w:p>
    <w:p w:rsidR="00BF01D8" w:rsidRDefault="00BF01D8">
      <w:pPr>
        <w:pStyle w:val="Heading3"/>
        <w:rPr>
          <w:b w:val="0"/>
          <w:color w:val="auto"/>
          <w:sz w:val="24"/>
        </w:rPr>
      </w:pPr>
    </w:p>
    <w:p w:rsidR="00BF01D8" w:rsidRDefault="00BF01D8">
      <w:pPr>
        <w:pStyle w:val="Heading3"/>
        <w:rPr>
          <w:b w:val="0"/>
          <w:color w:val="auto"/>
          <w:sz w:val="24"/>
        </w:rPr>
      </w:pPr>
    </w:p>
    <w:p w:rsidR="00BF01D8" w:rsidRDefault="00BF01D8">
      <w:pPr>
        <w:pStyle w:val="Heading3"/>
        <w:rPr>
          <w:b w:val="0"/>
          <w:color w:val="auto"/>
          <w:sz w:val="24"/>
        </w:rPr>
      </w:pPr>
    </w:p>
    <w:p w:rsidR="00BF01D8" w:rsidRDefault="00BF01D8">
      <w:pPr>
        <w:pStyle w:val="Heading3"/>
        <w:rPr>
          <w:b w:val="0"/>
          <w:color w:val="auto"/>
          <w:sz w:val="24"/>
        </w:rPr>
      </w:pPr>
    </w:p>
    <w:p w:rsidR="00BF01D8" w:rsidRDefault="00CB4F73">
      <w:pPr>
        <w:pStyle w:val="Heading3"/>
      </w:pPr>
      <w:r>
        <w:lastRenderedPageBreak/>
        <w:t>Decision Support Tool for NHS Continuing Healthcare</w:t>
      </w:r>
      <w:r>
        <w:br/>
      </w:r>
      <w:r>
        <w:t>Section 3 – Recommendation</w:t>
      </w:r>
    </w:p>
    <w:p w:rsidR="00BF01D8" w:rsidRDefault="00CB4F73">
      <w:pPr>
        <w:pStyle w:val="NoSpacing"/>
      </w:pPr>
      <w:r>
        <w:t>Please refer to the user notes</w:t>
      </w:r>
    </w:p>
    <w:tbl>
      <w:tblPr>
        <w:tblW w:w="10560" w:type="dxa"/>
        <w:tblInd w:w="85" w:type="dxa"/>
        <w:tblLayout w:type="fixed"/>
        <w:tblCellMar>
          <w:left w:w="10" w:type="dxa"/>
          <w:right w:w="10" w:type="dxa"/>
        </w:tblCellMar>
        <w:tblLook w:val="0000" w:firstRow="0" w:lastRow="0" w:firstColumn="0" w:lastColumn="0" w:noHBand="0" w:noVBand="0"/>
      </w:tblPr>
      <w:tblGrid>
        <w:gridCol w:w="10560"/>
      </w:tblGrid>
      <w:tr w:rsidR="00BF01D8">
        <w:tblPrEx>
          <w:tblCellMar>
            <w:top w:w="0" w:type="dxa"/>
            <w:bottom w:w="0" w:type="dxa"/>
          </w:tblCellMar>
        </w:tblPrEx>
        <w:trPr>
          <w:trHeight w:val="6099"/>
        </w:trPr>
        <w:tc>
          <w:tcPr>
            <w:tcW w:w="10560" w:type="dxa"/>
            <w:tcBorders>
              <w:top w:val="single" w:sz="4" w:space="0" w:color="000000"/>
              <w:left w:val="single" w:sz="4" w:space="0" w:color="000000"/>
              <w:bottom w:val="single" w:sz="4" w:space="0" w:color="000000"/>
              <w:right w:val="single" w:sz="4" w:space="0" w:color="000000"/>
            </w:tcBorders>
            <w:shd w:val="clear" w:color="auto" w:fill="auto"/>
            <w:tcMar>
              <w:top w:w="85" w:type="dxa"/>
              <w:left w:w="85" w:type="dxa"/>
              <w:bottom w:w="85" w:type="dxa"/>
              <w:right w:w="85" w:type="dxa"/>
            </w:tcMar>
          </w:tcPr>
          <w:p w:rsidR="00BF01D8" w:rsidRDefault="00CB4F73">
            <w:pPr>
              <w:pStyle w:val="NoSpacing"/>
            </w:pPr>
            <w:r>
              <w:t xml:space="preserve">Recommendation on eligibility for NHS Continuing Healthcare detailing the conclusions on the issues outlined on the previous page. This </w:t>
            </w:r>
            <w:r>
              <w:t xml:space="preserve">should include the following headings: </w:t>
            </w:r>
            <w:r>
              <w:rPr>
                <w:rStyle w:val="DHGreen"/>
              </w:rPr>
              <w:t>Overview</w:t>
            </w:r>
            <w:r>
              <w:t>;</w:t>
            </w:r>
          </w:p>
          <w:p w:rsidR="00BF01D8" w:rsidRDefault="00CB4F73">
            <w:pPr>
              <w:pStyle w:val="NoSpacing"/>
            </w:pPr>
            <w:r>
              <w:rPr>
                <w:rStyle w:val="DHGreen"/>
              </w:rPr>
              <w:t>Nature</w:t>
            </w:r>
            <w:r>
              <w:t xml:space="preserve">; </w:t>
            </w:r>
            <w:r>
              <w:rPr>
                <w:rStyle w:val="DHGreen"/>
              </w:rPr>
              <w:t>Intensity; Complexity; Unpredictability</w:t>
            </w:r>
            <w:r>
              <w:t xml:space="preserve">; and </w:t>
            </w:r>
            <w:r>
              <w:rPr>
                <w:rStyle w:val="DHGreen"/>
              </w:rPr>
              <w:t>Recommendation.</w:t>
            </w:r>
          </w:p>
        </w:tc>
      </w:tr>
    </w:tbl>
    <w:p w:rsidR="00BF01D8" w:rsidRDefault="00CB4F73">
      <w:r>
        <w:rPr>
          <w:rStyle w:val="Bold"/>
        </w:rPr>
        <w:t>Date of agreed MDT recommendation:</w:t>
      </w:r>
    </w:p>
    <w:p w:rsidR="00BF01D8" w:rsidRDefault="00BF01D8"/>
    <w:p w:rsidR="00BF01D8" w:rsidRDefault="00CB4F73">
      <w:r>
        <w:rPr>
          <w:rStyle w:val="Italics"/>
        </w:rPr>
        <w:t>for CCG use only</w:t>
      </w:r>
      <w:r>
        <w:rPr>
          <w:rStyle w:val="Bold"/>
        </w:rPr>
        <w:t>: Date of Eligibility Decision/Verification:</w:t>
      </w:r>
    </w:p>
    <w:p w:rsidR="00BF01D8" w:rsidRDefault="00BF01D8"/>
    <w:p w:rsidR="00BF01D8" w:rsidRDefault="00CB4F73">
      <w:r>
        <w:rPr>
          <w:rStyle w:val="Bold"/>
        </w:rPr>
        <w:t>Signatures of MDT making above recommen</w:t>
      </w:r>
      <w:r>
        <w:rPr>
          <w:rStyle w:val="Bold"/>
        </w:rPr>
        <w:t>dation:</w:t>
      </w:r>
    </w:p>
    <w:p w:rsidR="00BF01D8" w:rsidRDefault="00CB4F73">
      <w:r>
        <w:rPr>
          <w:rStyle w:val="Bold"/>
        </w:rPr>
        <w:t>Health professionals</w:t>
      </w:r>
    </w:p>
    <w:tbl>
      <w:tblPr>
        <w:tblW w:w="10728" w:type="dxa"/>
        <w:tblInd w:w="-5" w:type="dxa"/>
        <w:tblLayout w:type="fixed"/>
        <w:tblCellMar>
          <w:left w:w="10" w:type="dxa"/>
          <w:right w:w="10" w:type="dxa"/>
        </w:tblCellMar>
        <w:tblLook w:val="0000" w:firstRow="0" w:lastRow="0" w:firstColumn="0" w:lastColumn="0" w:noHBand="0" w:noVBand="0"/>
      </w:tblPr>
      <w:tblGrid>
        <w:gridCol w:w="2590"/>
        <w:gridCol w:w="2478"/>
        <w:gridCol w:w="1896"/>
        <w:gridCol w:w="2333"/>
        <w:gridCol w:w="1431"/>
      </w:tblGrid>
      <w:tr w:rsidR="00BF01D8">
        <w:tblPrEx>
          <w:tblCellMar>
            <w:top w:w="0" w:type="dxa"/>
            <w:bottom w:w="0" w:type="dxa"/>
          </w:tblCellMar>
        </w:tblPrEx>
        <w:trPr>
          <w:trHeight w:val="298"/>
        </w:trPr>
        <w:tc>
          <w:tcPr>
            <w:tcW w:w="2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CB4F73">
            <w:r>
              <w:t>Printed Name</w:t>
            </w:r>
          </w:p>
        </w:tc>
        <w:tc>
          <w:tcPr>
            <w:tcW w:w="24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CB4F73">
            <w:r>
              <w:t>Designation</w:t>
            </w:r>
          </w:p>
        </w:tc>
        <w:tc>
          <w:tcPr>
            <w:tcW w:w="18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CB4F73">
            <w:r>
              <w:t>Professional Qualification</w:t>
            </w:r>
          </w:p>
        </w:tc>
        <w:tc>
          <w:tcPr>
            <w:tcW w:w="23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CB4F73">
            <w:r>
              <w:t>Signature</w:t>
            </w:r>
          </w:p>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1D8" w:rsidRDefault="00CB4F73">
            <w:r>
              <w:t>Date</w:t>
            </w:r>
          </w:p>
        </w:tc>
      </w:tr>
      <w:tr w:rsidR="00BF01D8">
        <w:tblPrEx>
          <w:tblCellMar>
            <w:top w:w="0" w:type="dxa"/>
            <w:bottom w:w="0" w:type="dxa"/>
          </w:tblCellMar>
        </w:tblPrEx>
        <w:trPr>
          <w:trHeight w:val="1334"/>
        </w:trPr>
        <w:tc>
          <w:tcPr>
            <w:tcW w:w="25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BF01D8"/>
          <w:p w:rsidR="00BF01D8" w:rsidRDefault="00BF01D8"/>
          <w:p w:rsidR="00BF01D8" w:rsidRDefault="00BF01D8"/>
        </w:tc>
        <w:tc>
          <w:tcPr>
            <w:tcW w:w="24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BF01D8"/>
        </w:tc>
        <w:tc>
          <w:tcPr>
            <w:tcW w:w="18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BF01D8"/>
        </w:tc>
        <w:tc>
          <w:tcPr>
            <w:tcW w:w="23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BF01D8"/>
        </w:tc>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1D8" w:rsidRDefault="00BF01D8"/>
        </w:tc>
      </w:tr>
    </w:tbl>
    <w:p w:rsidR="00BF01D8" w:rsidRDefault="00CB4F73">
      <w:r>
        <w:rPr>
          <w:rStyle w:val="Bold"/>
        </w:rPr>
        <w:t>Social care/other professionals</w:t>
      </w:r>
    </w:p>
    <w:tbl>
      <w:tblPr>
        <w:tblW w:w="10700" w:type="dxa"/>
        <w:tblInd w:w="-5" w:type="dxa"/>
        <w:tblLayout w:type="fixed"/>
        <w:tblCellMar>
          <w:left w:w="10" w:type="dxa"/>
          <w:right w:w="10" w:type="dxa"/>
        </w:tblCellMar>
        <w:tblLook w:val="0000" w:firstRow="0" w:lastRow="0" w:firstColumn="0" w:lastColumn="0" w:noHBand="0" w:noVBand="0"/>
      </w:tblPr>
      <w:tblGrid>
        <w:gridCol w:w="2887"/>
        <w:gridCol w:w="2926"/>
        <w:gridCol w:w="2925"/>
        <w:gridCol w:w="1962"/>
      </w:tblGrid>
      <w:tr w:rsidR="00BF01D8">
        <w:tblPrEx>
          <w:tblCellMar>
            <w:top w:w="0" w:type="dxa"/>
            <w:bottom w:w="0" w:type="dxa"/>
          </w:tblCellMar>
        </w:tblPrEx>
        <w:trPr>
          <w:trHeight w:val="519"/>
        </w:trPr>
        <w:tc>
          <w:tcPr>
            <w:tcW w:w="2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CB4F73">
            <w:r>
              <w:t>Printed Name</w:t>
            </w:r>
          </w:p>
        </w:tc>
        <w:tc>
          <w:tcPr>
            <w:tcW w:w="29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CB4F73">
            <w:r>
              <w:t>Designation</w:t>
            </w:r>
          </w:p>
        </w:tc>
        <w:tc>
          <w:tcPr>
            <w:tcW w:w="29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CB4F73">
            <w:r>
              <w:t>Signature</w:t>
            </w:r>
          </w:p>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1D8" w:rsidRDefault="00CB4F73">
            <w:r>
              <w:t>Date</w:t>
            </w:r>
          </w:p>
        </w:tc>
      </w:tr>
      <w:tr w:rsidR="00BF01D8">
        <w:tblPrEx>
          <w:tblCellMar>
            <w:top w:w="0" w:type="dxa"/>
            <w:bottom w:w="0" w:type="dxa"/>
          </w:tblCellMar>
        </w:tblPrEx>
        <w:trPr>
          <w:trHeight w:val="653"/>
        </w:trPr>
        <w:tc>
          <w:tcPr>
            <w:tcW w:w="288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BF01D8"/>
          <w:p w:rsidR="00BF01D8" w:rsidRDefault="00BF01D8"/>
          <w:p w:rsidR="00BF01D8" w:rsidRDefault="00BF01D8"/>
        </w:tc>
        <w:tc>
          <w:tcPr>
            <w:tcW w:w="29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BF01D8"/>
        </w:tc>
        <w:tc>
          <w:tcPr>
            <w:tcW w:w="29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BF01D8" w:rsidRDefault="00BF01D8"/>
        </w:tc>
        <w:tc>
          <w:tcPr>
            <w:tcW w:w="1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01D8" w:rsidRDefault="00BF01D8"/>
        </w:tc>
      </w:tr>
    </w:tbl>
    <w:p w:rsidR="00BF01D8" w:rsidRDefault="00CB4F73">
      <w:pPr>
        <w:pStyle w:val="NoSpacing"/>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3543299</wp:posOffset>
                </wp:positionH>
                <wp:positionV relativeFrom="paragraph">
                  <wp:posOffset>8506562</wp:posOffset>
                </wp:positionV>
                <wp:extent cx="95253" cy="254002"/>
                <wp:effectExtent l="0" t="0" r="0" b="0"/>
                <wp:wrapNone/>
                <wp:docPr id="111" name="Rectangle 1" descr="Formatting correction"/>
                <wp:cNvGraphicFramePr/>
                <a:graphic xmlns:a="http://schemas.openxmlformats.org/drawingml/2006/main">
                  <a:graphicData uri="http://schemas.microsoft.com/office/word/2010/wordprocessingShape">
                    <wps:wsp>
                      <wps:cNvSpPr/>
                      <wps:spPr>
                        <a:xfrm>
                          <a:off x="0" y="0"/>
                          <a:ext cx="95253" cy="254002"/>
                        </a:xfrm>
                        <a:prstGeom prst="rect">
                          <a:avLst/>
                        </a:prstGeom>
                        <a:solidFill>
                          <a:srgbClr val="FFFFFF"/>
                        </a:solidFill>
                        <a:ln>
                          <a:noFill/>
                          <a:prstDash val="solid"/>
                        </a:ln>
                      </wps:spPr>
                      <wps:bodyPr lIns="0" tIns="0" rIns="0" bIns="0"/>
                    </wps:wsp>
                  </a:graphicData>
                </a:graphic>
              </wp:anchor>
            </w:drawing>
          </mc:Choice>
          <mc:Fallback>
            <w:pict>
              <v:rect id="Rectangle 1" o:spid="_x0000_s1026" alt="Formatting correction" style="position:absolute;margin-left:279pt;margin-top:669.8pt;width:7.5pt;height:2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" stroked="f">
                <v:textbox inset="0,0,0,0"/>
              </v:rect>
            </w:pict>
          </mc:Fallback>
        </mc:AlternateContent>
      </w:r>
      <w:r>
        <w:object w:dxaOrig="10800" w:dyaOrig="15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alt="Equality monitoring 1" style="width:540pt;height:781.1pt;visibility:visible;mso-wrap-style:square" o:ole="">
            <v:imagedata r:id="rId26" o:title="Equality monitoring 1"/>
          </v:shape>
          <o:OLEObject Type="Embed" ProgID="Word.Document.12" ShapeID="Object 1" DrawAspect="Content" ObjectID="_1591002482" r:id="rId27"/>
        </w:object>
      </w:r>
      <w:r>
        <w:object w:dxaOrig="9561" w:dyaOrig="10324">
          <v:shape id="Object 2" o:spid="_x0000_i1026" type="#_x0000_t75" alt="Equality monitoring 2" style="width:478.05pt;height:516.2pt;visibility:visible;mso-wrap-style:square" o:ole="">
            <v:imagedata r:id="rId28" o:title="Equality monitoring 2"/>
          </v:shape>
          <o:OLEObject Type="Embed" ProgID="Word.Document.12" ShapeID="Object 2" DrawAspect="Content" ObjectID="_1591002483" r:id="rId29"/>
        </w:object>
      </w:r>
    </w:p>
    <w:p w:rsidR="00BF01D8" w:rsidRDefault="00BF01D8"/>
    <w:sectPr w:rsidR="00BF01D8">
      <w:headerReference w:type="default" r:id="rId30"/>
      <w:footerReference w:type="default" r:id="rId31"/>
      <w:headerReference w:type="first" r:id="rId32"/>
      <w:footerReference w:type="first" r:id="rId33"/>
      <w:pgSz w:w="11906" w:h="16838"/>
      <w:pgMar w:top="1418" w:right="851" w:bottom="907" w:left="851" w:header="283"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B4F73">
      <w:pPr>
        <w:spacing w:before="0" w:after="0" w:line="240" w:lineRule="auto"/>
      </w:pPr>
      <w:r>
        <w:separator/>
      </w:r>
    </w:p>
  </w:endnote>
  <w:endnote w:type="continuationSeparator" w:id="0">
    <w:p w:rsidR="00000000" w:rsidRDefault="00CB4F7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Footer"/>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1" name="Text Box 1"/>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126" type="#_x0000_t202" style="position:absolute;left:0;text-align:left;margin-left:0;margin-top:.05pt;width:12.25pt;height:2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" filled="f" stroked="f">
              <v:textbox style="mso-fit-shape-to-text:t" inset="0,0,0,0">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v:textbox>
              <w10:wrap type="square"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Footer"/>
      <w:ind w:right="360" w:firstLine="360"/>
      <w:jc w:val="right"/>
    </w:pPr>
    <w:r>
      <w:rPr>
        <w:noProof/>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10" name="Text Box 10"/>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133" type="#_x0000_t202" style="position:absolute;left:0;text-align:left;margin-left:0;margin-top:.05pt;width:12.25pt;height:26pt;z-index:25167667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" filled="f" stroked="f">
              <v:textbox style="mso-fit-shape-to-text:t" inset="0,0,0,0">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Footer"/>
      <w:tabs>
        <w:tab w:val="clear" w:pos="4153"/>
        <w:tab w:val="clear" w:pos="8306"/>
        <w:tab w:val="left" w:pos="2442"/>
        <w:tab w:val="left" w:pos="9498"/>
      </w:tabs>
      <w:ind w:right="140" w:firstLine="360"/>
      <w:jc w:val="right"/>
    </w:pPr>
    <w:r>
      <w:rPr>
        <w:rStyle w:val="DHGreen"/>
      </w:rPr>
      <w:t xml:space="preserve">October 2018 (revised)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Footer"/>
      <w:ind w:right="360" w:firstLine="360"/>
    </w:pPr>
    <w:r>
      <w:rPr>
        <w:noProof/>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4" name="Text Box 4"/>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127" type="#_x0000_t202" style="position:absolute;left:0;text-align:left;margin-left:0;margin-top:.05pt;width:12.25pt;height:26pt;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" filled="f" stroked="f">
              <v:textbox style="mso-fit-shape-to-text:t" inset="0,0,0,0">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Footer"/>
      <w:ind w:right="360" w:firstLine="360"/>
      <w:jc w:val="right"/>
    </w:pPr>
    <w:r>
      <w:rPr>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5" name="Text Box 5"/>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128" type="#_x0000_t202" style="position:absolute;left:0;text-align:left;margin-left:0;margin-top:.05pt;width:6.15pt;height:26pt;z-index:2516664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xg10QccBAACEAwAADgAAAAAAAAAAAAAAAAAu&#10;AgAAZHJzL2Uyb0RvYy54bWxQSwECLQAUAAYACAAAACEAV0G2M9cAAAADAQAADwAAAAAAAAAAAAAA&#10;AAAhBAAAZHJzL2Rvd25yZXYueG1sUEsFBgAAAAAEAAQA8wAAACUFAAAAAA==&#10;" filled="f" stroked="f">
              <v:textbox style="mso-fit-shape-to-text:t" inset="0,0,0,0">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xbxContent>
              </v:textbox>
              <w10:wrap type="square"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Footer"/>
      <w:ind w:right="360" w:firstLine="360"/>
    </w:pPr>
    <w:r>
      <w:rPr>
        <w:noProof/>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6" name="Text Box 6"/>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6" o:spid="_x0000_s1129" type="#_x0000_t202" style="position:absolute;left:0;text-align:left;margin-left:0;margin-top:.05pt;width:12.25pt;height:26pt;z-index:2516684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" filled="f" stroked="f">
              <v:textbox style="mso-fit-shape-to-text:t" inset="0,0,0,0">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txbxContent>
              </v:textbox>
              <w10:wrap type="square"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Footer"/>
      <w:ind w:right="360" w:firstLine="360"/>
      <w:jc w:val="right"/>
    </w:pP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7" name="Text Box 7"/>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130" type="#_x0000_t202" style="position:absolute;left:0;text-align:left;margin-left:0;margin-top:.05pt;width:6.15pt;height:26pt;z-index:2516705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JoWDTccBAACEAwAADgAAAAAAAAAAAAAAAAAu&#10;AgAAZHJzL2Uyb0RvYy54bWxQSwECLQAUAAYACAAAACEAV0G2M9cAAAADAQAADwAAAAAAAAAAAAAA&#10;AAAhBAAAZHJzL2Rvd25yZXYueG1sUEsFBgAAAAAEAAQA8wAAACUFAAAAAA==&#10;" filled="f" stroked="f">
              <v:textbox style="mso-fit-shape-to-text:t" inset="0,0,0,0">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xbxContent>
              </v:textbox>
              <w10:wrap type="square"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Footer"/>
      <w:ind w:right="360" w:firstLine="360"/>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548</wp:posOffset>
              </wp:positionV>
              <wp:extent cx="155576" cy="330198"/>
              <wp:effectExtent l="0" t="0" r="15874" b="12702"/>
              <wp:wrapSquare wrapText="bothSides"/>
              <wp:docPr id="8" name="Text Box 8"/>
              <wp:cNvGraphicFramePr/>
              <a:graphic xmlns:a="http://schemas.openxmlformats.org/drawingml/2006/main">
                <a:graphicData uri="http://schemas.microsoft.com/office/word/2010/wordprocessingShape">
                  <wps:wsp>
                    <wps:cNvSpPr txBox="1"/>
                    <wps:spPr>
                      <a:xfrm>
                        <a:off x="0" y="0"/>
                        <a:ext cx="155576" cy="330198"/>
                      </a:xfrm>
                      <a:prstGeom prst="rect">
                        <a:avLst/>
                      </a:prstGeom>
                      <a:noFill/>
                      <a:ln>
                        <a:noFill/>
                        <a:prstDash/>
                      </a:ln>
                    </wps:spPr>
                    <wps:txbx>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131" type="#_x0000_t202" style="position:absolute;left:0;text-align:left;margin-left:0;margin-top:.05pt;width:12.25pt;height:26pt;z-index:2516725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" filled="f" stroked="f">
              <v:textbox style="mso-fit-shape-to-text:t" inset="0,0,0,0">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txbxContent>
              </v:textbox>
              <w10:wrap type="square"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Footer"/>
      <w:ind w:right="360" w:firstLine="360"/>
      <w:jc w:val="right"/>
    </w:pP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548</wp:posOffset>
              </wp:positionV>
              <wp:extent cx="78108" cy="330198"/>
              <wp:effectExtent l="0" t="0" r="17142" b="12702"/>
              <wp:wrapSquare wrapText="bothSides"/>
              <wp:docPr id="9" name="Text Box 9"/>
              <wp:cNvGraphicFramePr/>
              <a:graphic xmlns:a="http://schemas.openxmlformats.org/drawingml/2006/main">
                <a:graphicData uri="http://schemas.microsoft.com/office/word/2010/wordprocessingShape">
                  <wps:wsp>
                    <wps:cNvSpPr txBox="1"/>
                    <wps:spPr>
                      <a:xfrm>
                        <a:off x="0" y="0"/>
                        <a:ext cx="78108" cy="330198"/>
                      </a:xfrm>
                      <a:prstGeom prst="rect">
                        <a:avLst/>
                      </a:prstGeom>
                      <a:noFill/>
                      <a:ln>
                        <a:noFill/>
                        <a:prstDash/>
                      </a:ln>
                    </wps:spPr>
                    <wps:txbx>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132" type="#_x0000_t202" style="position:absolute;left:0;text-align:left;margin-left:0;margin-top:.05pt;width:6.15pt;height:26pt;z-index:2516746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" filled="f" stroked="f">
              <v:textbox style="mso-fit-shape-to-text:t" inset="0,0,0,0">
                <w:txbxContent>
                  <w:p w:rsidR="004D3D37" w:rsidRDefault="00CB4F73">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xbxContent>
              </v:textbox>
              <w10:wrap type="square" anchorx="margin"/>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Footer"/>
      <w:jc w:val="center"/>
    </w:pPr>
    <w:r>
      <w:fldChar w:fldCharType="begin"/>
    </w:r>
    <w:r>
      <w:instrText xml:space="preserve"> PAGE </w:instrText>
    </w:r>
    <w:r>
      <w:fldChar w:fldCharType="separate"/>
    </w:r>
    <w:r>
      <w:rPr>
        <w:noProof/>
      </w:rPr>
      <w:t>44</w:t>
    </w:r>
    <w:r>
      <w:fldChar w:fldCharType="end"/>
    </w:r>
  </w:p>
  <w:p w:rsidR="004D3D37" w:rsidRDefault="00CB4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B4F73">
      <w:pPr>
        <w:spacing w:before="0" w:after="0" w:line="240" w:lineRule="auto"/>
      </w:pPr>
      <w:r>
        <w:rPr>
          <w:color w:val="000000"/>
        </w:rPr>
        <w:separator/>
      </w:r>
    </w:p>
  </w:footnote>
  <w:footnote w:type="continuationSeparator" w:id="0">
    <w:p w:rsidR="00000000" w:rsidRDefault="00CB4F7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RunningHeads"/>
    </w:pPr>
    <w:r>
      <w:t>NHS Continuing Healthcare Decision Support Tool</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RunningHead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Header"/>
    </w:pPr>
    <w:r>
      <w:rPr>
        <w:noProof/>
      </w:rPr>
      <w:drawing>
        <wp:anchor distT="0" distB="0" distL="114300" distR="114300" simplePos="0" relativeHeight="251662336" behindDoc="1" locked="0" layoutInCell="1" allowOverlap="1">
          <wp:simplePos x="0" y="0"/>
          <wp:positionH relativeFrom="column">
            <wp:posOffset>31117</wp:posOffset>
          </wp:positionH>
          <wp:positionV relativeFrom="paragraph">
            <wp:posOffset>0</wp:posOffset>
          </wp:positionV>
          <wp:extent cx="1308735" cy="1093466"/>
          <wp:effectExtent l="0" t="0" r="5715" b="0"/>
          <wp:wrapNone/>
          <wp:docPr id="2" name="Picture 13"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08735" cy="1093466"/>
                  </a:xfrm>
                  <a:prstGeom prst="rect">
                    <a:avLst/>
                  </a:prstGeom>
                  <a:noFill/>
                  <a:ln>
                    <a:noFill/>
                    <a:prstDash/>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-603888</wp:posOffset>
          </wp:positionH>
          <wp:positionV relativeFrom="paragraph">
            <wp:posOffset>-71122</wp:posOffset>
          </wp:positionV>
          <wp:extent cx="7740011" cy="10381612"/>
          <wp:effectExtent l="0" t="0" r="0" b="0"/>
          <wp:wrapNone/>
          <wp:docPr id="3" name="Picture 12" descr="DH front cover" title="Published by the Department of Health"/>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40011" cy="10381612"/>
                  </a:xfrm>
                  <a:prstGeom prst="rect">
                    <a:avLst/>
                  </a:prstGeom>
                  <a:noFill/>
                  <a:ln>
                    <a:noFill/>
                    <a:prstDash/>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RunningHeads"/>
    </w:pPr>
    <w:r>
      <w:t>NHS Continuing Healthcare Decision Support Tool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RunningHeads"/>
    </w:pPr>
    <w:r>
      <w:t>NHS Continuing Healthcare Decision Support Tool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RunningHead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RunningHeads"/>
    </w:pPr>
    <w:r>
      <w:t>NHS Continuing Healthcare Decision Support Tool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RunningHead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D37" w:rsidRDefault="00CB4F73">
    <w:pPr>
      <w:pStyle w:val="RunningHeads"/>
    </w:pPr>
    <w:r>
      <w:t>NHS Continuing Healthcare Decision Support Tool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C254E"/>
    <w:multiLevelType w:val="multilevel"/>
    <w:tmpl w:val="C0B8E7AE"/>
    <w:styleLink w:val="LFO21"/>
    <w:lvl w:ilvl="0">
      <w:numFmt w:val="bullet"/>
      <w:pStyle w:val="BulletList3"/>
      <w:lvlText w:val=""/>
      <w:lvlJc w:val="left"/>
      <w:pPr>
        <w:ind w:left="1211" w:hanging="360"/>
      </w:pPr>
      <w:rPr>
        <w:rFonts w:ascii="Symbol" w:hAnsi="Symbol"/>
        <w:color w:val="01D1AE"/>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Arial" w:hAnsi="Arial"/>
        <w:color w:val="auto"/>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
    <w:nsid w:val="55FB4B18"/>
    <w:multiLevelType w:val="multilevel"/>
    <w:tmpl w:val="4AE6DAB6"/>
    <w:styleLink w:val="LFO27"/>
    <w:lvl w:ilvl="0">
      <w:start w:val="1"/>
      <w:numFmt w:val="lowerLetter"/>
      <w:pStyle w:val="BulletList1alpha"/>
      <w:lvlText w:val="%1)"/>
      <w:lvlJc w:val="left"/>
      <w:pPr>
        <w:ind w:left="1080" w:hanging="360"/>
      </w:pPr>
    </w:lvl>
    <w:lvl w:ilvl="1">
      <w:numFmt w:val="bullet"/>
      <w:lvlText w:val=""/>
      <w:lvlJc w:val="left"/>
      <w:pPr>
        <w:ind w:left="1440" w:hanging="360"/>
      </w:pPr>
      <w:rPr>
        <w:rFonts w:ascii="Symbol" w:hAnsi="Symbol"/>
        <w:color w:val="auto"/>
      </w:rPr>
    </w:lvl>
    <w:lvl w:ilvl="2">
      <w:numFmt w:val="bullet"/>
      <w:lvlText w:val=""/>
      <w:lvlJc w:val="left"/>
      <w:pPr>
        <w:ind w:left="1800" w:hanging="360"/>
      </w:pPr>
      <w:rPr>
        <w:rFonts w:ascii="Symbol" w:hAnsi="Symbol"/>
        <w:color w:val="auto"/>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5A0D725C"/>
    <w:multiLevelType w:val="multilevel"/>
    <w:tmpl w:val="2B6ACC36"/>
    <w:styleLink w:val="LFO25"/>
    <w:lvl w:ilvl="0">
      <w:start w:val="1"/>
      <w:numFmt w:val="decimal"/>
      <w:pStyle w:val="ChapterHeading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C266E61"/>
    <w:multiLevelType w:val="multilevel"/>
    <w:tmpl w:val="BC4436F4"/>
    <w:styleLink w:val="LFO26"/>
    <w:lvl w:ilvl="0">
      <w:start w:val="1"/>
      <w:numFmt w:val="decimal"/>
      <w:pStyle w:val="BulletList1numbered"/>
      <w:lvlText w:val="%1."/>
      <w:lvlJc w:val="left"/>
      <w:pPr>
        <w:ind w:left="360" w:hanging="360"/>
      </w:pPr>
    </w:lvl>
    <w:lvl w:ilvl="1">
      <w:start w:val="1"/>
      <w:numFmt w:val="lowerRoman"/>
      <w:lvlText w:val="%1.%2."/>
      <w:lvlJc w:val="left"/>
      <w:pPr>
        <w:ind w:left="792" w:hanging="432"/>
      </w:pPr>
      <w:rPr>
        <w:color w:val="auto"/>
      </w:rPr>
    </w:lvl>
    <w:lvl w:ilvl="2">
      <w:start w:val="1"/>
      <w:numFmt w:val="lowerRoman"/>
      <w:lvlText w:val="%1.%2.%3."/>
      <w:lvlJc w:val="left"/>
      <w:pPr>
        <w:ind w:left="1224" w:hanging="504"/>
      </w:pPr>
      <w:rPr>
        <w:color w:val="auto"/>
      </w:rPr>
    </w:lvl>
    <w:lvl w:ilvl="3">
      <w:start w:val="1"/>
      <w:numFmt w:val="none"/>
      <w:lvlText w:val="%1.%2.%3.%4."/>
      <w:lvlJc w:val="left"/>
      <w:pPr>
        <w:ind w:left="1728" w:hanging="648"/>
      </w:pPr>
    </w:lvl>
    <w:lvl w:ilvl="4">
      <w:start w:val="1"/>
      <w:numFmt w:val="none"/>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BF01D8"/>
    <w:rsid w:val="00BF01D8"/>
    <w:rsid w:val="00CB4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80" w:lineRule="exact"/>
    </w:pPr>
    <w:rPr>
      <w:rFonts w:ascii="Arial" w:eastAsia="Times New Roman" w:hAnsi="Arial"/>
      <w:sz w:val="24"/>
      <w:szCs w:val="24"/>
      <w:lang w:eastAsia="en-GB"/>
    </w:rPr>
  </w:style>
  <w:style w:type="paragraph" w:styleId="Heading1">
    <w:name w:val="heading 1"/>
    <w:basedOn w:val="Normal"/>
    <w:next w:val="ParagraphTextUnnumbered"/>
    <w:pPr>
      <w:keepNext/>
      <w:spacing w:before="240" w:line="380" w:lineRule="exact"/>
      <w:outlineLvl w:val="0"/>
    </w:pPr>
    <w:rPr>
      <w:b/>
      <w:color w:val="00D1AE"/>
      <w:sz w:val="36"/>
    </w:rPr>
  </w:style>
  <w:style w:type="paragraph" w:styleId="Heading2">
    <w:name w:val="heading 2"/>
    <w:basedOn w:val="Normal"/>
    <w:next w:val="Normal"/>
    <w:pPr>
      <w:spacing w:before="240"/>
      <w:outlineLvl w:val="1"/>
    </w:pPr>
    <w:rPr>
      <w:b/>
      <w:color w:val="00D1AE"/>
      <w:sz w:val="32"/>
    </w:rPr>
  </w:style>
  <w:style w:type="paragraph" w:styleId="Heading3">
    <w:name w:val="heading 3"/>
    <w:basedOn w:val="Normal"/>
    <w:next w:val="Normal"/>
    <w:pPr>
      <w:outlineLvl w:val="2"/>
    </w:pPr>
    <w:rPr>
      <w:b/>
      <w:color w:val="01D1AE"/>
      <w:sz w:val="28"/>
    </w:rPr>
  </w:style>
  <w:style w:type="paragraph" w:styleId="Heading4">
    <w:name w:val="heading 4"/>
    <w:basedOn w:val="Normal"/>
    <w:next w:val="Normal"/>
    <w:pPr>
      <w:outlineLvl w:val="3"/>
    </w:pPr>
    <w:rPr>
      <w:b/>
      <w:color w:val="00D1AE"/>
    </w:rPr>
  </w:style>
  <w:style w:type="paragraph" w:styleId="Heading5">
    <w:name w:val="heading 5"/>
    <w:basedOn w:val="Normal"/>
    <w:next w:val="Normal"/>
    <w:pPr>
      <w:spacing w:before="240" w:after="60"/>
      <w:outlineLvl w:val="4"/>
    </w:pPr>
    <w:rPr>
      <w:bCs/>
      <w:i/>
      <w:iCs/>
      <w:szCs w:val="26"/>
    </w:rPr>
  </w:style>
  <w:style w:type="paragraph" w:styleId="Heading6">
    <w:name w:val="heading 6"/>
    <w:basedOn w:val="Normal"/>
    <w:next w:val="Normal"/>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ParagraphTextUnnumbered">
    <w:name w:val="Paragraph Text Unnumbered"/>
    <w:basedOn w:val="Normal"/>
  </w:style>
  <w:style w:type="character" w:customStyle="1" w:styleId="Heading1Char">
    <w:name w:val="Heading 1 Char"/>
    <w:basedOn w:val="DefaultParagraphFont"/>
    <w:rPr>
      <w:rFonts w:ascii="Arial" w:eastAsia="Times New Roman" w:hAnsi="Arial" w:cs="Times New Roman"/>
      <w:b/>
      <w:color w:val="00D1AE"/>
      <w:sz w:val="36"/>
      <w:szCs w:val="24"/>
      <w:lang w:eastAsia="en-GB"/>
    </w:rPr>
  </w:style>
  <w:style w:type="character" w:customStyle="1" w:styleId="Heading2Char">
    <w:name w:val="Heading 2 Char"/>
    <w:basedOn w:val="DefaultParagraphFont"/>
    <w:rPr>
      <w:rFonts w:ascii="Arial" w:eastAsia="Times New Roman" w:hAnsi="Arial" w:cs="Times New Roman"/>
      <w:b/>
      <w:color w:val="00D1AE"/>
      <w:sz w:val="32"/>
      <w:szCs w:val="24"/>
      <w:lang w:eastAsia="en-GB"/>
    </w:rPr>
  </w:style>
  <w:style w:type="character" w:customStyle="1" w:styleId="Heading3Char">
    <w:name w:val="Heading 3 Char"/>
    <w:basedOn w:val="DefaultParagraphFont"/>
    <w:rPr>
      <w:rFonts w:ascii="Arial" w:eastAsia="Times New Roman" w:hAnsi="Arial" w:cs="Times New Roman"/>
      <w:b/>
      <w:color w:val="01D1AE"/>
      <w:sz w:val="28"/>
      <w:szCs w:val="24"/>
      <w:lang w:eastAsia="en-GB"/>
    </w:rPr>
  </w:style>
  <w:style w:type="character" w:customStyle="1" w:styleId="Heading4Char">
    <w:name w:val="Heading 4 Char"/>
    <w:basedOn w:val="DefaultParagraphFont"/>
    <w:rPr>
      <w:rFonts w:ascii="Arial" w:eastAsia="Times New Roman" w:hAnsi="Arial" w:cs="Times New Roman"/>
      <w:b/>
      <w:color w:val="00D1AE"/>
      <w:sz w:val="24"/>
      <w:szCs w:val="24"/>
      <w:lang w:eastAsia="en-GB"/>
    </w:rPr>
  </w:style>
  <w:style w:type="character" w:customStyle="1" w:styleId="Heading5Char">
    <w:name w:val="Heading 5 Char"/>
    <w:basedOn w:val="DefaultParagraphFont"/>
    <w:rPr>
      <w:rFonts w:ascii="Arial" w:eastAsia="Times New Roman" w:hAnsi="Arial" w:cs="Times New Roman"/>
      <w:bCs/>
      <w:i/>
      <w:iCs/>
      <w:sz w:val="24"/>
      <w:szCs w:val="26"/>
      <w:lang w:eastAsia="en-GB"/>
    </w:rPr>
  </w:style>
  <w:style w:type="character" w:customStyle="1" w:styleId="Heading6Char">
    <w:name w:val="Heading 6 Char"/>
    <w:basedOn w:val="DefaultParagraphFont"/>
    <w:rPr>
      <w:rFonts w:ascii="Arial" w:eastAsia="MS Mincho" w:hAnsi="Arial" w:cs="Times New Roman"/>
      <w:b/>
      <w:bCs/>
      <w:lang w:eastAsia="en-GB"/>
    </w:rPr>
  </w:style>
  <w:style w:type="character" w:customStyle="1" w:styleId="Heading7Char">
    <w:name w:val="Heading 7 Char"/>
    <w:basedOn w:val="DefaultParagraphFont"/>
    <w:rPr>
      <w:rFonts w:ascii="Arial" w:eastAsia="MS Mincho" w:hAnsi="Arial" w:cs="Times New Roman"/>
      <w:sz w:val="24"/>
      <w:szCs w:val="24"/>
      <w:lang w:eastAsia="en-GB"/>
    </w:rPr>
  </w:style>
  <w:style w:type="character" w:customStyle="1" w:styleId="Heading8Char">
    <w:name w:val="Heading 8 Char"/>
    <w:basedOn w:val="DefaultParagraphFont"/>
    <w:rPr>
      <w:rFonts w:ascii="Arial" w:eastAsia="Times New Roman" w:hAnsi="Arial" w:cs="Times New Roman"/>
      <w:color w:val="404040"/>
      <w:sz w:val="20"/>
      <w:szCs w:val="24"/>
      <w:lang w:eastAsia="en-GB"/>
    </w:rPr>
  </w:style>
  <w:style w:type="paragraph" w:customStyle="1" w:styleId="BulletList2">
    <w:name w:val="Bullet List 2"/>
    <w:pPr>
      <w:tabs>
        <w:tab w:val="left" w:pos="720"/>
      </w:tabs>
      <w:suppressAutoHyphens/>
      <w:spacing w:after="0" w:line="240" w:lineRule="auto"/>
      <w:ind w:left="1418" w:hanging="284"/>
    </w:pPr>
    <w:rPr>
      <w:rFonts w:ascii="Arial" w:eastAsia="Times New Roman" w:hAnsi="Arial"/>
      <w:sz w:val="24"/>
      <w:szCs w:val="24"/>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TitlePageText">
    <w:name w:val="Title Page Text"/>
    <w:basedOn w:val="Normal"/>
    <w:next w:val="ParagraphTextUnnumbered"/>
    <w:rPr>
      <w:b/>
    </w:rPr>
  </w:style>
  <w:style w:type="paragraph" w:customStyle="1" w:styleId="BulletList1alpha">
    <w:name w:val="Bullet List 1 (alpha)"/>
    <w:pPr>
      <w:numPr>
        <w:numId w:val="4"/>
      </w:numPr>
      <w:tabs>
        <w:tab w:val="left" w:pos="-3240"/>
      </w:tabs>
      <w:suppressAutoHyphens/>
      <w:spacing w:before="120" w:after="120" w:line="320" w:lineRule="exact"/>
    </w:pPr>
    <w:rPr>
      <w:rFonts w:ascii="Arial" w:eastAsia="Times New Roman" w:hAnsi="Arial"/>
      <w:sz w:val="24"/>
      <w:szCs w:val="24"/>
    </w:rPr>
  </w:style>
  <w:style w:type="paragraph" w:customStyle="1" w:styleId="BulletList1unnumbered">
    <w:name w:val="Bullet List 1 (unnumbered)"/>
    <w:pPr>
      <w:suppressAutoHyphens/>
      <w:spacing w:before="120" w:after="120" w:line="320" w:lineRule="exact"/>
      <w:ind w:left="357" w:hanging="357"/>
    </w:pPr>
    <w:rPr>
      <w:rFonts w:ascii="Arial" w:eastAsia="Times New Roman" w:hAnsi="Arial"/>
      <w:sz w:val="24"/>
      <w:szCs w:val="24"/>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rFonts w:ascii="Arial" w:eastAsia="Times New Roman" w:hAnsi="Arial"/>
      <w:sz w:val="24"/>
      <w:szCs w:val="24"/>
    </w:rPr>
  </w:style>
  <w:style w:type="paragraph" w:customStyle="1" w:styleId="BulletList3">
    <w:name w:val="Bullet List 3"/>
    <w:pPr>
      <w:numPr>
        <w:numId w:val="1"/>
      </w:numPr>
      <w:tabs>
        <w:tab w:val="left" w:pos="-3764"/>
      </w:tabs>
      <w:suppressAutoHyphens/>
      <w:spacing w:after="0" w:line="240" w:lineRule="auto"/>
    </w:pPr>
    <w:rPr>
      <w:rFonts w:ascii="Arial" w:eastAsia="Times New Roman" w:hAnsi="Arial"/>
      <w:sz w:val="24"/>
      <w:szCs w:val="24"/>
    </w:rPr>
  </w:style>
  <w:style w:type="paragraph" w:styleId="Caption">
    <w:name w:val="caption"/>
    <w:basedOn w:val="Normal"/>
    <w:next w:val="Normal"/>
    <w:rPr>
      <w:b/>
      <w:bCs/>
      <w:sz w:val="20"/>
    </w:rPr>
  </w:style>
  <w:style w:type="paragraph" w:customStyle="1" w:styleId="RunningHeads">
    <w:name w:val="Running Heads"/>
    <w:basedOn w:val="Normal"/>
    <w:pPr>
      <w:spacing w:line="240" w:lineRule="exact"/>
    </w:pPr>
    <w:rPr>
      <w:b/>
      <w:color w:val="00D1AE"/>
      <w:sz w:val="20"/>
    </w:rPr>
  </w:style>
  <w:style w:type="paragraph" w:styleId="Footer">
    <w:name w:val="footer"/>
    <w:basedOn w:val="Normal"/>
    <w:pPr>
      <w:tabs>
        <w:tab w:val="center" w:pos="4153"/>
        <w:tab w:val="right" w:pos="8306"/>
      </w:tabs>
    </w:pPr>
    <w:rPr>
      <w:sz w:val="22"/>
    </w:rPr>
  </w:style>
  <w:style w:type="character" w:customStyle="1" w:styleId="FooterChar">
    <w:name w:val="Footer Char"/>
    <w:basedOn w:val="DefaultParagraphFont"/>
    <w:rPr>
      <w:rFonts w:ascii="Arial" w:eastAsia="Times New Roman" w:hAnsi="Arial" w:cs="Times New Roman"/>
      <w:szCs w:val="24"/>
      <w:lang w:eastAsia="en-GB"/>
    </w:rPr>
  </w:style>
  <w:style w:type="paragraph" w:styleId="Title">
    <w:name w:val="Title"/>
    <w:basedOn w:val="Normal"/>
    <w:pPr>
      <w:spacing w:after="240" w:line="840" w:lineRule="exact"/>
      <w:outlineLvl w:val="0"/>
    </w:pPr>
    <w:rPr>
      <w:color w:val="01D1AE"/>
      <w:sz w:val="76"/>
    </w:rPr>
  </w:style>
  <w:style w:type="character" w:customStyle="1" w:styleId="TitleChar">
    <w:name w:val="Title Char"/>
    <w:basedOn w:val="DefaultParagraphFont"/>
    <w:rPr>
      <w:rFonts w:ascii="Arial" w:eastAsia="Times New Roman" w:hAnsi="Arial" w:cs="Times New Roman"/>
      <w:color w:val="01D1AE"/>
      <w:sz w:val="76"/>
      <w:szCs w:val="24"/>
      <w:lang w:eastAsia="en-GB"/>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character" w:customStyle="1" w:styleId="Italics">
    <w:name w:val="Italics"/>
    <w:rPr>
      <w:i/>
    </w:rPr>
  </w:style>
  <w:style w:type="character" w:customStyle="1" w:styleId="SubtitleChar">
    <w:name w:val="Subtitle Char"/>
    <w:basedOn w:val="DefaultParagraphFont"/>
    <w:rPr>
      <w:rFonts w:ascii="Arial" w:eastAsia="Times New Roman" w:hAnsi="Arial" w:cs="Times New Roman"/>
      <w:sz w:val="44"/>
      <w:szCs w:val="24"/>
      <w:lang w:eastAsia="en-GB"/>
    </w:rPr>
  </w:style>
  <w:style w:type="paragraph" w:customStyle="1" w:styleId="ParagraphTextNumbered">
    <w:name w:val="Paragraph Text Numbered"/>
    <w:basedOn w:val="ParagraphTextUnnumbered"/>
    <w:pPr>
      <w:tabs>
        <w:tab w:val="left" w:pos="792"/>
      </w:tabs>
      <w:ind w:left="794" w:hanging="794"/>
    </w:pPr>
  </w:style>
  <w:style w:type="paragraph" w:customStyle="1" w:styleId="ChapterHeadingNumbered">
    <w:name w:val="Chapter Heading Numbered"/>
    <w:basedOn w:val="ChapterHeadingUnnumbered"/>
    <w:next w:val="ParagraphTextUnnumbered"/>
    <w:pPr>
      <w:numPr>
        <w:numId w:val="2"/>
      </w:numPr>
      <w:tabs>
        <w:tab w:val="left" w:pos="-1080"/>
      </w:tabs>
    </w:pPr>
    <w:rPr>
      <w:rFonts w:ascii="Calibri" w:eastAsia="Calibri" w:hAnsi="Calibri"/>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Header">
    <w:name w:val="header"/>
    <w:basedOn w:val="Normal"/>
    <w:pPr>
      <w:tabs>
        <w:tab w:val="center" w:pos="4153"/>
        <w:tab w:val="right" w:pos="8306"/>
      </w:tabs>
      <w:jc w:val="right"/>
    </w:pPr>
    <w:rPr>
      <w:color w:val="01D1AE"/>
      <w:sz w:val="22"/>
    </w:rPr>
  </w:style>
  <w:style w:type="character" w:customStyle="1" w:styleId="HeaderChar">
    <w:name w:val="Header Char"/>
    <w:basedOn w:val="DefaultParagraphFont"/>
    <w:rPr>
      <w:rFonts w:ascii="Arial" w:eastAsia="Times New Roman" w:hAnsi="Arial" w:cs="Times New Roman"/>
      <w:color w:val="01D1AE"/>
      <w:szCs w:val="24"/>
      <w:lang w:eastAsia="en-GB"/>
    </w:rPr>
  </w:style>
  <w:style w:type="character" w:customStyle="1" w:styleId="FootnoteTextChar">
    <w:name w:val="Footnote Text Char"/>
    <w:basedOn w:val="DefaultParagraphFont"/>
    <w:rPr>
      <w:rFonts w:ascii="Arial" w:eastAsia="Times New Roman" w:hAnsi="Arial" w:cs="Times New Roman"/>
      <w:sz w:val="20"/>
      <w:szCs w:val="24"/>
      <w:lang w:eastAsia="en-GB"/>
    </w:rPr>
  </w:style>
  <w:style w:type="paragraph" w:styleId="FootnoteText">
    <w:name w:val="footnote text"/>
    <w:basedOn w:val="Normal"/>
    <w:rPr>
      <w:sz w:val="20"/>
    </w:rPr>
  </w:style>
  <w:style w:type="character" w:styleId="PageNumber">
    <w:name w:val="page number"/>
    <w:basedOn w:val="DefaultParagraphFont"/>
  </w:style>
  <w:style w:type="character" w:customStyle="1" w:styleId="DHGreen">
    <w:name w:val="DH Green"/>
    <w:rPr>
      <w:color w:val="01D1AE"/>
    </w:rPr>
  </w:style>
  <w:style w:type="paragraph" w:styleId="ListParagraph">
    <w:name w:val="List Paragraph"/>
    <w:basedOn w:val="Normal"/>
    <w:pPr>
      <w:ind w:left="720"/>
    </w:pPr>
  </w:style>
  <w:style w:type="paragraph" w:styleId="Quote">
    <w:name w:val="Quote"/>
    <w:basedOn w:val="Normal"/>
    <w:next w:val="Normal"/>
    <w:rPr>
      <w:i/>
      <w:iCs/>
      <w:color w:val="000000"/>
    </w:rPr>
  </w:style>
  <w:style w:type="character" w:customStyle="1" w:styleId="QuoteChar">
    <w:name w:val="Quote Char"/>
    <w:basedOn w:val="DefaultParagraphFont"/>
    <w:rPr>
      <w:rFonts w:ascii="Arial" w:eastAsia="Times New Roman" w:hAnsi="Arial" w:cs="Times New Roman"/>
      <w:i/>
      <w:iCs/>
      <w:color w:val="000000"/>
      <w:sz w:val="24"/>
      <w:szCs w:val="24"/>
      <w:lang w:eastAsia="en-GB"/>
    </w:rPr>
  </w:style>
  <w:style w:type="character" w:styleId="Strong">
    <w:name w:val="Strong"/>
    <w:basedOn w:val="DefaultParagraphFont"/>
    <w:rPr>
      <w:b/>
      <w:bCs/>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NoSpacing">
    <w:name w:val="No Spacing"/>
    <w:pPr>
      <w:suppressAutoHyphens/>
      <w:spacing w:after="0" w:line="240" w:lineRule="auto"/>
    </w:pPr>
    <w:rPr>
      <w:rFonts w:ascii="Arial" w:eastAsia="Times New Roman" w:hAnsi="Arial"/>
      <w:sz w:val="24"/>
      <w:szCs w:val="24"/>
      <w:lang w:eastAsia="en-GB"/>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CommentSubject">
    <w:name w:val="annotation subject"/>
    <w:basedOn w:val="CommentText"/>
    <w:next w:val="CommentText"/>
    <w:rPr>
      <w:b/>
      <w:bCs/>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before="120" w:after="120" w:line="280" w:lineRule="exact"/>
    </w:pPr>
    <w:rPr>
      <w:rFonts w:ascii="Arial" w:eastAsia="Times New Roman" w:hAnsi="Arial"/>
      <w:sz w:val="24"/>
      <w:szCs w:val="24"/>
      <w:lang w:eastAsia="en-GB"/>
    </w:rPr>
  </w:style>
  <w:style w:type="paragraph" w:styleId="Heading1">
    <w:name w:val="heading 1"/>
    <w:basedOn w:val="Normal"/>
    <w:next w:val="ParagraphTextUnnumbered"/>
    <w:pPr>
      <w:keepNext/>
      <w:spacing w:before="240" w:line="380" w:lineRule="exact"/>
      <w:outlineLvl w:val="0"/>
    </w:pPr>
    <w:rPr>
      <w:b/>
      <w:color w:val="00D1AE"/>
      <w:sz w:val="36"/>
    </w:rPr>
  </w:style>
  <w:style w:type="paragraph" w:styleId="Heading2">
    <w:name w:val="heading 2"/>
    <w:basedOn w:val="Normal"/>
    <w:next w:val="Normal"/>
    <w:pPr>
      <w:spacing w:before="240"/>
      <w:outlineLvl w:val="1"/>
    </w:pPr>
    <w:rPr>
      <w:b/>
      <w:color w:val="00D1AE"/>
      <w:sz w:val="32"/>
    </w:rPr>
  </w:style>
  <w:style w:type="paragraph" w:styleId="Heading3">
    <w:name w:val="heading 3"/>
    <w:basedOn w:val="Normal"/>
    <w:next w:val="Normal"/>
    <w:pPr>
      <w:outlineLvl w:val="2"/>
    </w:pPr>
    <w:rPr>
      <w:b/>
      <w:color w:val="01D1AE"/>
      <w:sz w:val="28"/>
    </w:rPr>
  </w:style>
  <w:style w:type="paragraph" w:styleId="Heading4">
    <w:name w:val="heading 4"/>
    <w:basedOn w:val="Normal"/>
    <w:next w:val="Normal"/>
    <w:pPr>
      <w:outlineLvl w:val="3"/>
    </w:pPr>
    <w:rPr>
      <w:b/>
      <w:color w:val="00D1AE"/>
    </w:rPr>
  </w:style>
  <w:style w:type="paragraph" w:styleId="Heading5">
    <w:name w:val="heading 5"/>
    <w:basedOn w:val="Normal"/>
    <w:next w:val="Normal"/>
    <w:pPr>
      <w:spacing w:before="240" w:after="60"/>
      <w:outlineLvl w:val="4"/>
    </w:pPr>
    <w:rPr>
      <w:bCs/>
      <w:i/>
      <w:iCs/>
      <w:szCs w:val="26"/>
    </w:rPr>
  </w:style>
  <w:style w:type="paragraph" w:styleId="Heading6">
    <w:name w:val="heading 6"/>
    <w:basedOn w:val="Normal"/>
    <w:next w:val="Normal"/>
    <w:pPr>
      <w:spacing w:before="240" w:after="60"/>
      <w:outlineLvl w:val="5"/>
    </w:pPr>
    <w:rPr>
      <w:rFonts w:eastAsia="MS Mincho"/>
      <w:b/>
      <w:bCs/>
      <w:sz w:val="22"/>
      <w:szCs w:val="22"/>
    </w:rPr>
  </w:style>
  <w:style w:type="paragraph" w:styleId="Heading7">
    <w:name w:val="heading 7"/>
    <w:basedOn w:val="Normal"/>
    <w:next w:val="Normal"/>
    <w:pPr>
      <w:spacing w:before="240" w:after="60"/>
      <w:outlineLvl w:val="6"/>
    </w:pPr>
    <w:rPr>
      <w:rFonts w:eastAsia="MS Mincho"/>
    </w:rPr>
  </w:style>
  <w:style w:type="paragraph" w:styleId="Heading8">
    <w:name w:val="heading 8"/>
    <w:basedOn w:val="Normal"/>
    <w:next w:val="Normal"/>
    <w:pPr>
      <w:keepNext/>
      <w:keepLines/>
      <w:spacing w:before="200" w:after="0"/>
      <w:outlineLvl w:val="7"/>
    </w:pPr>
    <w:rPr>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HeadingUnnumbered">
    <w:name w:val="Chapter Heading Unnumbered"/>
    <w:basedOn w:val="Normal"/>
    <w:next w:val="Introduction"/>
    <w:pPr>
      <w:keepNext/>
      <w:pageBreakBefore/>
      <w:spacing w:before="0" w:after="360" w:line="540" w:lineRule="exact"/>
      <w:outlineLvl w:val="0"/>
    </w:pPr>
    <w:rPr>
      <w:color w:val="00D1AE"/>
      <w:sz w:val="50"/>
    </w:rPr>
  </w:style>
  <w:style w:type="paragraph" w:styleId="Subtitle">
    <w:name w:val="Subtitle"/>
    <w:basedOn w:val="Normal"/>
    <w:pPr>
      <w:spacing w:line="520" w:lineRule="exact"/>
      <w:outlineLvl w:val="1"/>
    </w:pPr>
    <w:rPr>
      <w:sz w:val="44"/>
    </w:rPr>
  </w:style>
  <w:style w:type="paragraph" w:customStyle="1" w:styleId="FiguresChartsTitle">
    <w:name w:val="Figures/Charts Title"/>
    <w:basedOn w:val="Introduction"/>
    <w:pPr>
      <w:spacing w:before="120" w:after="60" w:line="240" w:lineRule="auto"/>
      <w:outlineLvl w:val="3"/>
    </w:pPr>
    <w:rPr>
      <w:sz w:val="22"/>
    </w:rPr>
  </w:style>
  <w:style w:type="paragraph" w:customStyle="1" w:styleId="Notesexample">
    <w:name w:val="Notes/example"/>
    <w:basedOn w:val="Caption"/>
    <w:next w:val="ParagraphTextUnnumbered"/>
    <w:pPr>
      <w:outlineLvl w:val="4"/>
    </w:pPr>
    <w:rPr>
      <w:color w:val="00D1AE"/>
      <w:sz w:val="22"/>
    </w:rPr>
  </w:style>
  <w:style w:type="paragraph" w:customStyle="1" w:styleId="ParagraphTextUnnumbered">
    <w:name w:val="Paragraph Text Unnumbered"/>
    <w:basedOn w:val="Normal"/>
  </w:style>
  <w:style w:type="character" w:customStyle="1" w:styleId="Heading1Char">
    <w:name w:val="Heading 1 Char"/>
    <w:basedOn w:val="DefaultParagraphFont"/>
    <w:rPr>
      <w:rFonts w:ascii="Arial" w:eastAsia="Times New Roman" w:hAnsi="Arial" w:cs="Times New Roman"/>
      <w:b/>
      <w:color w:val="00D1AE"/>
      <w:sz w:val="36"/>
      <w:szCs w:val="24"/>
      <w:lang w:eastAsia="en-GB"/>
    </w:rPr>
  </w:style>
  <w:style w:type="character" w:customStyle="1" w:styleId="Heading2Char">
    <w:name w:val="Heading 2 Char"/>
    <w:basedOn w:val="DefaultParagraphFont"/>
    <w:rPr>
      <w:rFonts w:ascii="Arial" w:eastAsia="Times New Roman" w:hAnsi="Arial" w:cs="Times New Roman"/>
      <w:b/>
      <w:color w:val="00D1AE"/>
      <w:sz w:val="32"/>
      <w:szCs w:val="24"/>
      <w:lang w:eastAsia="en-GB"/>
    </w:rPr>
  </w:style>
  <w:style w:type="character" w:customStyle="1" w:styleId="Heading3Char">
    <w:name w:val="Heading 3 Char"/>
    <w:basedOn w:val="DefaultParagraphFont"/>
    <w:rPr>
      <w:rFonts w:ascii="Arial" w:eastAsia="Times New Roman" w:hAnsi="Arial" w:cs="Times New Roman"/>
      <w:b/>
      <w:color w:val="01D1AE"/>
      <w:sz w:val="28"/>
      <w:szCs w:val="24"/>
      <w:lang w:eastAsia="en-GB"/>
    </w:rPr>
  </w:style>
  <w:style w:type="character" w:customStyle="1" w:styleId="Heading4Char">
    <w:name w:val="Heading 4 Char"/>
    <w:basedOn w:val="DefaultParagraphFont"/>
    <w:rPr>
      <w:rFonts w:ascii="Arial" w:eastAsia="Times New Roman" w:hAnsi="Arial" w:cs="Times New Roman"/>
      <w:b/>
      <w:color w:val="00D1AE"/>
      <w:sz w:val="24"/>
      <w:szCs w:val="24"/>
      <w:lang w:eastAsia="en-GB"/>
    </w:rPr>
  </w:style>
  <w:style w:type="character" w:customStyle="1" w:styleId="Heading5Char">
    <w:name w:val="Heading 5 Char"/>
    <w:basedOn w:val="DefaultParagraphFont"/>
    <w:rPr>
      <w:rFonts w:ascii="Arial" w:eastAsia="Times New Roman" w:hAnsi="Arial" w:cs="Times New Roman"/>
      <w:bCs/>
      <w:i/>
      <w:iCs/>
      <w:sz w:val="24"/>
      <w:szCs w:val="26"/>
      <w:lang w:eastAsia="en-GB"/>
    </w:rPr>
  </w:style>
  <w:style w:type="character" w:customStyle="1" w:styleId="Heading6Char">
    <w:name w:val="Heading 6 Char"/>
    <w:basedOn w:val="DefaultParagraphFont"/>
    <w:rPr>
      <w:rFonts w:ascii="Arial" w:eastAsia="MS Mincho" w:hAnsi="Arial" w:cs="Times New Roman"/>
      <w:b/>
      <w:bCs/>
      <w:lang w:eastAsia="en-GB"/>
    </w:rPr>
  </w:style>
  <w:style w:type="character" w:customStyle="1" w:styleId="Heading7Char">
    <w:name w:val="Heading 7 Char"/>
    <w:basedOn w:val="DefaultParagraphFont"/>
    <w:rPr>
      <w:rFonts w:ascii="Arial" w:eastAsia="MS Mincho" w:hAnsi="Arial" w:cs="Times New Roman"/>
      <w:sz w:val="24"/>
      <w:szCs w:val="24"/>
      <w:lang w:eastAsia="en-GB"/>
    </w:rPr>
  </w:style>
  <w:style w:type="character" w:customStyle="1" w:styleId="Heading8Char">
    <w:name w:val="Heading 8 Char"/>
    <w:basedOn w:val="DefaultParagraphFont"/>
    <w:rPr>
      <w:rFonts w:ascii="Arial" w:eastAsia="Times New Roman" w:hAnsi="Arial" w:cs="Times New Roman"/>
      <w:color w:val="404040"/>
      <w:sz w:val="20"/>
      <w:szCs w:val="24"/>
      <w:lang w:eastAsia="en-GB"/>
    </w:rPr>
  </w:style>
  <w:style w:type="paragraph" w:customStyle="1" w:styleId="BulletList2">
    <w:name w:val="Bullet List 2"/>
    <w:pPr>
      <w:tabs>
        <w:tab w:val="left" w:pos="720"/>
      </w:tabs>
      <w:suppressAutoHyphens/>
      <w:spacing w:after="0" w:line="240" w:lineRule="auto"/>
      <w:ind w:left="1418" w:hanging="284"/>
    </w:pPr>
    <w:rPr>
      <w:rFonts w:ascii="Arial" w:eastAsia="Times New Roman" w:hAnsi="Arial"/>
      <w:sz w:val="24"/>
      <w:szCs w:val="24"/>
    </w:rPr>
  </w:style>
  <w:style w:type="paragraph" w:customStyle="1" w:styleId="Introduction">
    <w:name w:val="Introduction"/>
    <w:basedOn w:val="Normal"/>
    <w:next w:val="ParagraphTextUnnumbered"/>
    <w:pPr>
      <w:spacing w:before="240" w:line="380" w:lineRule="exact"/>
    </w:pPr>
    <w:rPr>
      <w:color w:val="01D1AE"/>
      <w:sz w:val="32"/>
    </w:rPr>
  </w:style>
  <w:style w:type="paragraph" w:customStyle="1" w:styleId="TitlePageText">
    <w:name w:val="Title Page Text"/>
    <w:basedOn w:val="Normal"/>
    <w:next w:val="ParagraphTextUnnumbered"/>
    <w:rPr>
      <w:b/>
    </w:rPr>
  </w:style>
  <w:style w:type="paragraph" w:customStyle="1" w:styleId="BulletList1alpha">
    <w:name w:val="Bullet List 1 (alpha)"/>
    <w:pPr>
      <w:numPr>
        <w:numId w:val="4"/>
      </w:numPr>
      <w:tabs>
        <w:tab w:val="left" w:pos="-3240"/>
      </w:tabs>
      <w:suppressAutoHyphens/>
      <w:spacing w:before="120" w:after="120" w:line="320" w:lineRule="exact"/>
    </w:pPr>
    <w:rPr>
      <w:rFonts w:ascii="Arial" w:eastAsia="Times New Roman" w:hAnsi="Arial"/>
      <w:sz w:val="24"/>
      <w:szCs w:val="24"/>
    </w:rPr>
  </w:style>
  <w:style w:type="paragraph" w:customStyle="1" w:styleId="BulletList1unnumbered">
    <w:name w:val="Bullet List 1 (unnumbered)"/>
    <w:pPr>
      <w:suppressAutoHyphens/>
      <w:spacing w:before="120" w:after="120" w:line="320" w:lineRule="exact"/>
      <w:ind w:left="357" w:hanging="357"/>
    </w:pPr>
    <w:rPr>
      <w:rFonts w:ascii="Arial" w:eastAsia="Times New Roman" w:hAnsi="Arial"/>
      <w:sz w:val="24"/>
      <w:szCs w:val="24"/>
    </w:rPr>
  </w:style>
  <w:style w:type="paragraph" w:customStyle="1" w:styleId="Footnote">
    <w:name w:val="Footnote"/>
    <w:basedOn w:val="Normal"/>
    <w:pPr>
      <w:spacing w:after="60"/>
    </w:pPr>
    <w:rPr>
      <w:color w:val="666666"/>
      <w:sz w:val="22"/>
    </w:rPr>
  </w:style>
  <w:style w:type="paragraph" w:customStyle="1" w:styleId="BulletList1numbered">
    <w:name w:val="Bullet List 1 (numbered)"/>
    <w:pPr>
      <w:numPr>
        <w:numId w:val="3"/>
      </w:numPr>
      <w:suppressAutoHyphens/>
      <w:spacing w:before="120" w:after="120" w:line="320" w:lineRule="exact"/>
    </w:pPr>
    <w:rPr>
      <w:rFonts w:ascii="Arial" w:eastAsia="Times New Roman" w:hAnsi="Arial"/>
      <w:sz w:val="24"/>
      <w:szCs w:val="24"/>
    </w:rPr>
  </w:style>
  <w:style w:type="paragraph" w:customStyle="1" w:styleId="BulletList3">
    <w:name w:val="Bullet List 3"/>
    <w:pPr>
      <w:numPr>
        <w:numId w:val="1"/>
      </w:numPr>
      <w:tabs>
        <w:tab w:val="left" w:pos="-3764"/>
      </w:tabs>
      <w:suppressAutoHyphens/>
      <w:spacing w:after="0" w:line="240" w:lineRule="auto"/>
    </w:pPr>
    <w:rPr>
      <w:rFonts w:ascii="Arial" w:eastAsia="Times New Roman" w:hAnsi="Arial"/>
      <w:sz w:val="24"/>
      <w:szCs w:val="24"/>
    </w:rPr>
  </w:style>
  <w:style w:type="paragraph" w:styleId="Caption">
    <w:name w:val="caption"/>
    <w:basedOn w:val="Normal"/>
    <w:next w:val="Normal"/>
    <w:rPr>
      <w:b/>
      <w:bCs/>
      <w:sz w:val="20"/>
    </w:rPr>
  </w:style>
  <w:style w:type="paragraph" w:customStyle="1" w:styleId="RunningHeads">
    <w:name w:val="Running Heads"/>
    <w:basedOn w:val="Normal"/>
    <w:pPr>
      <w:spacing w:line="240" w:lineRule="exact"/>
    </w:pPr>
    <w:rPr>
      <w:b/>
      <w:color w:val="00D1AE"/>
      <w:sz w:val="20"/>
    </w:rPr>
  </w:style>
  <w:style w:type="paragraph" w:styleId="Footer">
    <w:name w:val="footer"/>
    <w:basedOn w:val="Normal"/>
    <w:pPr>
      <w:tabs>
        <w:tab w:val="center" w:pos="4153"/>
        <w:tab w:val="right" w:pos="8306"/>
      </w:tabs>
    </w:pPr>
    <w:rPr>
      <w:sz w:val="22"/>
    </w:rPr>
  </w:style>
  <w:style w:type="character" w:customStyle="1" w:styleId="FooterChar">
    <w:name w:val="Footer Char"/>
    <w:basedOn w:val="DefaultParagraphFont"/>
    <w:rPr>
      <w:rFonts w:ascii="Arial" w:eastAsia="Times New Roman" w:hAnsi="Arial" w:cs="Times New Roman"/>
      <w:szCs w:val="24"/>
      <w:lang w:eastAsia="en-GB"/>
    </w:rPr>
  </w:style>
  <w:style w:type="paragraph" w:styleId="Title">
    <w:name w:val="Title"/>
    <w:basedOn w:val="Normal"/>
    <w:pPr>
      <w:spacing w:after="240" w:line="840" w:lineRule="exact"/>
      <w:outlineLvl w:val="0"/>
    </w:pPr>
    <w:rPr>
      <w:color w:val="01D1AE"/>
      <w:sz w:val="76"/>
    </w:rPr>
  </w:style>
  <w:style w:type="character" w:customStyle="1" w:styleId="TitleChar">
    <w:name w:val="Title Char"/>
    <w:basedOn w:val="DefaultParagraphFont"/>
    <w:rPr>
      <w:rFonts w:ascii="Arial" w:eastAsia="Times New Roman" w:hAnsi="Arial" w:cs="Times New Roman"/>
      <w:color w:val="01D1AE"/>
      <w:sz w:val="76"/>
      <w:szCs w:val="24"/>
      <w:lang w:eastAsia="en-GB"/>
    </w:rPr>
  </w:style>
  <w:style w:type="character" w:customStyle="1" w:styleId="Bold">
    <w:name w:val="Bold"/>
    <w:rPr>
      <w:b/>
    </w:rPr>
  </w:style>
  <w:style w:type="character" w:styleId="Hyperlink">
    <w:name w:val="Hyperlink"/>
    <w:rPr>
      <w:rFonts w:ascii="Helvetica Neue" w:hAnsi="Helvetica Neue"/>
      <w:color w:val="0000FF"/>
      <w:sz w:val="24"/>
      <w:u w:val="single"/>
    </w:rPr>
  </w:style>
  <w:style w:type="paragraph" w:styleId="TOC1">
    <w:name w:val="toc 1"/>
    <w:basedOn w:val="Normal"/>
    <w:next w:val="Normal"/>
    <w:autoRedefine/>
    <w:pPr>
      <w:tabs>
        <w:tab w:val="right" w:leader="dot" w:pos="10082"/>
      </w:tabs>
      <w:ind w:right="140"/>
    </w:pPr>
  </w:style>
  <w:style w:type="character" w:customStyle="1" w:styleId="Italics">
    <w:name w:val="Italics"/>
    <w:rPr>
      <w:i/>
    </w:rPr>
  </w:style>
  <w:style w:type="character" w:customStyle="1" w:styleId="SubtitleChar">
    <w:name w:val="Subtitle Char"/>
    <w:basedOn w:val="DefaultParagraphFont"/>
    <w:rPr>
      <w:rFonts w:ascii="Arial" w:eastAsia="Times New Roman" w:hAnsi="Arial" w:cs="Times New Roman"/>
      <w:sz w:val="44"/>
      <w:szCs w:val="24"/>
      <w:lang w:eastAsia="en-GB"/>
    </w:rPr>
  </w:style>
  <w:style w:type="paragraph" w:customStyle="1" w:styleId="ParagraphTextNumbered">
    <w:name w:val="Paragraph Text Numbered"/>
    <w:basedOn w:val="ParagraphTextUnnumbered"/>
    <w:pPr>
      <w:tabs>
        <w:tab w:val="left" w:pos="792"/>
      </w:tabs>
      <w:ind w:left="794" w:hanging="794"/>
    </w:pPr>
  </w:style>
  <w:style w:type="paragraph" w:customStyle="1" w:styleId="ChapterHeadingNumbered">
    <w:name w:val="Chapter Heading Numbered"/>
    <w:basedOn w:val="ChapterHeadingUnnumbered"/>
    <w:next w:val="ParagraphTextUnnumbered"/>
    <w:pPr>
      <w:numPr>
        <w:numId w:val="2"/>
      </w:numPr>
      <w:tabs>
        <w:tab w:val="left" w:pos="-1080"/>
      </w:tabs>
    </w:pPr>
    <w:rPr>
      <w:rFonts w:ascii="Calibri" w:eastAsia="Calibri" w:hAnsi="Calibri"/>
      <w:szCs w:val="22"/>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 w:type="paragraph" w:styleId="Header">
    <w:name w:val="header"/>
    <w:basedOn w:val="Normal"/>
    <w:pPr>
      <w:tabs>
        <w:tab w:val="center" w:pos="4153"/>
        <w:tab w:val="right" w:pos="8306"/>
      </w:tabs>
      <w:jc w:val="right"/>
    </w:pPr>
    <w:rPr>
      <w:color w:val="01D1AE"/>
      <w:sz w:val="22"/>
    </w:rPr>
  </w:style>
  <w:style w:type="character" w:customStyle="1" w:styleId="HeaderChar">
    <w:name w:val="Header Char"/>
    <w:basedOn w:val="DefaultParagraphFont"/>
    <w:rPr>
      <w:rFonts w:ascii="Arial" w:eastAsia="Times New Roman" w:hAnsi="Arial" w:cs="Times New Roman"/>
      <w:color w:val="01D1AE"/>
      <w:szCs w:val="24"/>
      <w:lang w:eastAsia="en-GB"/>
    </w:rPr>
  </w:style>
  <w:style w:type="character" w:customStyle="1" w:styleId="FootnoteTextChar">
    <w:name w:val="Footnote Text Char"/>
    <w:basedOn w:val="DefaultParagraphFont"/>
    <w:rPr>
      <w:rFonts w:ascii="Arial" w:eastAsia="Times New Roman" w:hAnsi="Arial" w:cs="Times New Roman"/>
      <w:sz w:val="20"/>
      <w:szCs w:val="24"/>
      <w:lang w:eastAsia="en-GB"/>
    </w:rPr>
  </w:style>
  <w:style w:type="paragraph" w:styleId="FootnoteText">
    <w:name w:val="footnote text"/>
    <w:basedOn w:val="Normal"/>
    <w:rPr>
      <w:sz w:val="20"/>
    </w:rPr>
  </w:style>
  <w:style w:type="character" w:styleId="PageNumber">
    <w:name w:val="page number"/>
    <w:basedOn w:val="DefaultParagraphFont"/>
  </w:style>
  <w:style w:type="character" w:customStyle="1" w:styleId="DHGreen">
    <w:name w:val="DH Green"/>
    <w:rPr>
      <w:color w:val="01D1AE"/>
    </w:rPr>
  </w:style>
  <w:style w:type="paragraph" w:styleId="ListParagraph">
    <w:name w:val="List Paragraph"/>
    <w:basedOn w:val="Normal"/>
    <w:pPr>
      <w:ind w:left="720"/>
    </w:pPr>
  </w:style>
  <w:style w:type="paragraph" w:styleId="Quote">
    <w:name w:val="Quote"/>
    <w:basedOn w:val="Normal"/>
    <w:next w:val="Normal"/>
    <w:rPr>
      <w:i/>
      <w:iCs/>
      <w:color w:val="000000"/>
    </w:rPr>
  </w:style>
  <w:style w:type="character" w:customStyle="1" w:styleId="QuoteChar">
    <w:name w:val="Quote Char"/>
    <w:basedOn w:val="DefaultParagraphFont"/>
    <w:rPr>
      <w:rFonts w:ascii="Arial" w:eastAsia="Times New Roman" w:hAnsi="Arial" w:cs="Times New Roman"/>
      <w:i/>
      <w:iCs/>
      <w:color w:val="000000"/>
      <w:sz w:val="24"/>
      <w:szCs w:val="24"/>
      <w:lang w:eastAsia="en-GB"/>
    </w:rPr>
  </w:style>
  <w:style w:type="character" w:styleId="Strong">
    <w:name w:val="Strong"/>
    <w:basedOn w:val="DefaultParagraphFont"/>
    <w:rPr>
      <w:b/>
      <w:bCs/>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Arial" w:eastAsia="Times New Roman" w:hAnsi="Arial" w:cs="Times New Roman"/>
      <w:sz w:val="20"/>
      <w:szCs w:val="20"/>
      <w:lang w:eastAsia="en-GB"/>
    </w:rPr>
  </w:style>
  <w:style w:type="paragraph" w:styleId="NoSpacing">
    <w:name w:val="No Spacing"/>
    <w:pPr>
      <w:suppressAutoHyphens/>
      <w:spacing w:after="0" w:line="240" w:lineRule="auto"/>
    </w:pPr>
    <w:rPr>
      <w:rFonts w:ascii="Arial" w:eastAsia="Times New Roman" w:hAnsi="Arial"/>
      <w:sz w:val="24"/>
      <w:szCs w:val="24"/>
      <w:lang w:eastAsia="en-GB"/>
    </w:rPr>
  </w:style>
  <w:style w:type="character" w:customStyle="1" w:styleId="CommentSubjectChar">
    <w:name w:val="Comment Subject Char"/>
    <w:basedOn w:val="CommentTextChar"/>
    <w:rPr>
      <w:rFonts w:ascii="Arial" w:eastAsia="Times New Roman" w:hAnsi="Arial" w:cs="Times New Roman"/>
      <w:b/>
      <w:bCs/>
      <w:sz w:val="20"/>
      <w:szCs w:val="20"/>
      <w:lang w:eastAsia="en-GB"/>
    </w:rPr>
  </w:style>
  <w:style w:type="paragraph" w:styleId="CommentSubject">
    <w:name w:val="annotation subject"/>
    <w:basedOn w:val="CommentText"/>
    <w:next w:val="CommentText"/>
    <w:rPr>
      <w:b/>
      <w:bCs/>
    </w:rPr>
  </w:style>
  <w:style w:type="numbering" w:customStyle="1" w:styleId="LFO21">
    <w:name w:val="LFO21"/>
    <w:basedOn w:val="NoList"/>
    <w:pPr>
      <w:numPr>
        <w:numId w:val="1"/>
      </w:numPr>
    </w:pPr>
  </w:style>
  <w:style w:type="numbering" w:customStyle="1" w:styleId="LFO25">
    <w:name w:val="LFO25"/>
    <w:basedOn w:val="NoList"/>
    <w:pPr>
      <w:numPr>
        <w:numId w:val="2"/>
      </w:numPr>
    </w:pPr>
  </w:style>
  <w:style w:type="numbering" w:customStyle="1" w:styleId="LFO26">
    <w:name w:val="LFO26"/>
    <w:basedOn w:val="NoList"/>
    <w:pPr>
      <w:numPr>
        <w:numId w:val="3"/>
      </w:numPr>
    </w:pPr>
  </w:style>
  <w:style w:type="numbering" w:customStyle="1" w:styleId="LFO27">
    <w:name w:val="LFO27"/>
    <w:basedOn w:val="NoList"/>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uk/dh" TargetMode="External"/><Relationship Id="rId18" Type="http://schemas.openxmlformats.org/officeDocument/2006/relationships/header" Target="header5.xml"/><Relationship Id="rId26" Type="http://schemas.openxmlformats.org/officeDocument/2006/relationships/image" Target="media/image3.emf"/><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tionalarchives.gov.uk/doc/open-government-licence/" TargetMode="Externa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package" Target="embeddings/Microsoft_Word_Document2.docx"/><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4.emf"/><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package" Target="embeddings/Microsoft_Word_Document1.docx"/><Relationship Id="rId30" Type="http://schemas.openxmlformats.org/officeDocument/2006/relationships/header" Target="header9.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8942</Words>
  <Characters>50975</Characters>
  <Application>Microsoft Office Word</Application>
  <DocSecurity>4</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Ben</dc:creator>
  <cp:lastModifiedBy>Venessa Harris</cp:lastModifiedBy>
  <cp:revision>2</cp:revision>
  <dcterms:created xsi:type="dcterms:W3CDTF">2018-06-20T11:22:00Z</dcterms:created>
  <dcterms:modified xsi:type="dcterms:W3CDTF">2018-06-20T11:22:00Z</dcterms:modified>
</cp:coreProperties>
</file>